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D96" w:rsidRDefault="00847D96" w:rsidP="00967440">
      <w:pPr>
        <w:pStyle w:val="Heading"/>
        <w:pBdr>
          <w:bottom w:val="single" w:sz="4" w:space="1" w:color="auto"/>
        </w:pBdr>
        <w:rPr>
          <w:rFonts w:asciiTheme="minorHAnsi" w:hAnsiTheme="minorHAnsi" w:cstheme="minorHAnsi"/>
          <w:sz w:val="50"/>
          <w:szCs w:val="50"/>
        </w:rPr>
      </w:pPr>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8">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Start w:id="0" w:name="_GoBack"/>
      <w:bookmarkEnd w:id="0"/>
    </w:p>
    <w:p w:rsidR="00847D96" w:rsidRDefault="00847D96" w:rsidP="00AE6875">
      <w:pPr>
        <w:pStyle w:val="Heading"/>
        <w:pBdr>
          <w:bottom w:val="single" w:sz="4" w:space="1" w:color="auto"/>
        </w:pBdr>
        <w:jc w:val="both"/>
        <w:rPr>
          <w:rFonts w:asciiTheme="minorHAnsi" w:hAnsiTheme="minorHAnsi" w:cstheme="minorHAnsi"/>
          <w:sz w:val="50"/>
          <w:szCs w:val="50"/>
        </w:rPr>
      </w:pPr>
    </w:p>
    <w:p w:rsidR="00D136E4" w:rsidRPr="00292C31" w:rsidRDefault="00736291" w:rsidP="00AE6875">
      <w:pPr>
        <w:pStyle w:val="Heading"/>
        <w:pBdr>
          <w:bottom w:val="single" w:sz="4" w:space="1" w:color="auto"/>
        </w:pBdr>
        <w:jc w:val="both"/>
        <w:rPr>
          <w:rFonts w:asciiTheme="minorHAnsi" w:hAnsiTheme="minorHAnsi" w:cstheme="minorHAnsi"/>
          <w:sz w:val="50"/>
          <w:szCs w:val="50"/>
        </w:rPr>
      </w:pPr>
      <w:r w:rsidRPr="00292C31">
        <w:rPr>
          <w:rFonts w:asciiTheme="minorHAnsi" w:hAnsiTheme="minorHAnsi" w:cstheme="minorHAnsi"/>
          <w:sz w:val="50"/>
          <w:szCs w:val="50"/>
        </w:rPr>
        <w:t xml:space="preserve">PRIVACY NOTICE </w:t>
      </w:r>
      <w:r w:rsidR="00BA521D">
        <w:rPr>
          <w:rFonts w:asciiTheme="minorHAnsi" w:hAnsiTheme="minorHAnsi" w:cstheme="minorHAnsi"/>
          <w:sz w:val="50"/>
          <w:szCs w:val="50"/>
        </w:rPr>
        <w:t>FOR</w:t>
      </w:r>
      <w:r w:rsidR="00213F18">
        <w:rPr>
          <w:rFonts w:asciiTheme="minorHAnsi" w:hAnsiTheme="minorHAnsi" w:cstheme="minorHAnsi"/>
          <w:sz w:val="50"/>
          <w:szCs w:val="50"/>
        </w:rPr>
        <w:t xml:space="preserve"> </w:t>
      </w:r>
      <w:r w:rsidR="009E64FA">
        <w:rPr>
          <w:rFonts w:asciiTheme="minorHAnsi" w:hAnsiTheme="minorHAnsi" w:cstheme="minorHAnsi"/>
          <w:sz w:val="50"/>
          <w:szCs w:val="50"/>
        </w:rPr>
        <w:t xml:space="preserve">YOUNG </w:t>
      </w:r>
      <w:r w:rsidR="00213F18">
        <w:rPr>
          <w:rFonts w:asciiTheme="minorHAnsi" w:hAnsiTheme="minorHAnsi" w:cstheme="minorHAnsi"/>
          <w:sz w:val="50"/>
          <w:szCs w:val="50"/>
        </w:rPr>
        <w:t>ADULTS</w:t>
      </w:r>
      <w:r w:rsidR="00BA521D">
        <w:rPr>
          <w:rFonts w:asciiTheme="minorHAnsi" w:hAnsiTheme="minorHAnsi" w:cstheme="minorHAnsi"/>
          <w:sz w:val="50"/>
          <w:szCs w:val="50"/>
        </w:rPr>
        <w:t xml:space="preserve"> WHO A</w:t>
      </w:r>
      <w:r w:rsidR="009E64FA">
        <w:rPr>
          <w:rFonts w:asciiTheme="minorHAnsi" w:hAnsiTheme="minorHAnsi" w:cstheme="minorHAnsi"/>
          <w:sz w:val="50"/>
          <w:szCs w:val="50"/>
        </w:rPr>
        <w:t>CC</w:t>
      </w:r>
      <w:r w:rsidR="00BA521D">
        <w:rPr>
          <w:rFonts w:asciiTheme="minorHAnsi" w:hAnsiTheme="minorHAnsi" w:cstheme="minorHAnsi"/>
          <w:sz w:val="50"/>
          <w:szCs w:val="50"/>
        </w:rPr>
        <w:t>ESS HUB SERVICES</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accordance with the General Data Protection Regulation (GDPR), we have implemented this privacy notice to inform you, </w:t>
      </w:r>
      <w:r w:rsidR="00213F18">
        <w:rPr>
          <w:rFonts w:cstheme="minorHAnsi"/>
        </w:rPr>
        <w:t xml:space="preserve">as </w:t>
      </w:r>
      <w:r w:rsidR="009E64FA">
        <w:rPr>
          <w:rFonts w:cstheme="minorHAnsi"/>
        </w:rPr>
        <w:t>a young</w:t>
      </w:r>
      <w:r w:rsidR="00213F18">
        <w:rPr>
          <w:rFonts w:cstheme="minorHAnsi"/>
        </w:rPr>
        <w:t xml:space="preserve"> adult </w:t>
      </w:r>
      <w:r w:rsidR="00CA78AC" w:rsidRPr="00292C31">
        <w:rPr>
          <w:rFonts w:cstheme="minorHAnsi"/>
        </w:rPr>
        <w:t>within our care</w:t>
      </w:r>
      <w:r w:rsidRPr="00292C31">
        <w:rPr>
          <w:rFonts w:cstheme="minorHAnsi"/>
        </w:rPr>
        <w:t>, of the types of data we process about you. We also include within this notice the reasons for processing your data</w:t>
      </w:r>
      <w:r w:rsidR="001061D8" w:rsidRPr="00292C31">
        <w:rPr>
          <w:rFonts w:cstheme="minorHAnsi"/>
        </w:rPr>
        <w:t>,</w:t>
      </w:r>
      <w:r w:rsidRPr="00292C31">
        <w:rPr>
          <w:rFonts w:cstheme="minorHAnsi"/>
        </w:rPr>
        <w:t xml:space="preserve"> the lawful basis</w:t>
      </w:r>
      <w:r w:rsidR="001061D8" w:rsidRPr="00292C31">
        <w:rPr>
          <w:rFonts w:cstheme="minorHAnsi"/>
        </w:rPr>
        <w:t xml:space="preserve"> that permits us to process it, how long we keep your data for and your rights regarding your data.</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This notice applies to current and former </w:t>
      </w:r>
      <w:r w:rsidR="009E64FA">
        <w:rPr>
          <w:rFonts w:cstheme="minorHAnsi"/>
        </w:rPr>
        <w:t xml:space="preserve">young </w:t>
      </w:r>
      <w:r w:rsidR="00213F18">
        <w:rPr>
          <w:rFonts w:cstheme="minorHAnsi"/>
        </w:rPr>
        <w:t>adults</w:t>
      </w:r>
      <w:r w:rsidR="00C97E8F" w:rsidRPr="00292C31">
        <w:rPr>
          <w:rFonts w:cstheme="minorHAnsi"/>
        </w:rPr>
        <w:t xml:space="preserve">. </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PRINCIPLES</w:t>
      </w:r>
    </w:p>
    <w:p w:rsidR="009D04F2" w:rsidRPr="00292C31" w:rsidRDefault="009D04F2" w:rsidP="00AE6875">
      <w:pPr>
        <w:spacing w:after="0" w:line="240" w:lineRule="auto"/>
        <w:jc w:val="both"/>
        <w:rPr>
          <w:rFonts w:cstheme="minorHAnsi"/>
        </w:rPr>
      </w:pPr>
      <w:r w:rsidRPr="00292C31">
        <w:rPr>
          <w:rFonts w:cstheme="minorHAnsi"/>
        </w:rPr>
        <w:t>Under GDPR, all personal data obtained and held by us must be processed according to a set of core principles. In accordance with these principles, we will ensure that:</w:t>
      </w:r>
    </w:p>
    <w:p w:rsidR="009D04F2" w:rsidRPr="00292C31" w:rsidRDefault="009D04F2" w:rsidP="00AE6875">
      <w:pPr>
        <w:spacing w:after="0" w:line="240" w:lineRule="auto"/>
        <w:jc w:val="both"/>
        <w:rPr>
          <w:rFonts w:cstheme="minorHAnsi"/>
        </w:rPr>
      </w:pP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processing </w:t>
      </w:r>
      <w:r w:rsidR="00FB10E9" w:rsidRPr="00292C31">
        <w:rPr>
          <w:rFonts w:cstheme="minorHAnsi"/>
        </w:rPr>
        <w:t>is</w:t>
      </w:r>
      <w:r w:rsidRPr="00292C31">
        <w:rPr>
          <w:rFonts w:cstheme="minorHAnsi"/>
        </w:rPr>
        <w:t xml:space="preserve"> fair, lawful and transparent </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collected for specific, explicit, and legitimate purposes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collected </w:t>
      </w:r>
      <w:r w:rsidR="00FB10E9" w:rsidRPr="00292C31">
        <w:rPr>
          <w:rFonts w:cstheme="minorHAnsi"/>
        </w:rPr>
        <w:t>is</w:t>
      </w:r>
      <w:r w:rsidRPr="00292C31">
        <w:rPr>
          <w:rFonts w:cstheme="minorHAnsi"/>
        </w:rPr>
        <w:t xml:space="preserve"> adequate, relevant and limited to what is necessary for the purposes of processing</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kept accurate and up to date. Data which is found to be inaccurate will be rectified or erased without delay</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data is not kept for longer than is necessary for its given purpose</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we comply with the relevant GDPR procedures for international transferring of personal data</w:t>
      </w:r>
    </w:p>
    <w:p w:rsidR="00EA4F7A" w:rsidRPr="00292C31" w:rsidRDefault="00EA4F7A" w:rsidP="00AE6875">
      <w:pPr>
        <w:spacing w:after="0" w:line="240" w:lineRule="auto"/>
        <w:ind w:left="1440" w:hanging="720"/>
        <w:jc w:val="both"/>
        <w:rPr>
          <w:rFonts w:cstheme="minorHAnsi"/>
        </w:rPr>
      </w:pPr>
    </w:p>
    <w:p w:rsidR="009D04F2" w:rsidRPr="00292C31" w:rsidRDefault="00EA4F7A" w:rsidP="00AE6875">
      <w:pPr>
        <w:pStyle w:val="BodyBoldRed"/>
        <w:numPr>
          <w:ilvl w:val="0"/>
          <w:numId w:val="2"/>
        </w:numPr>
        <w:ind w:left="426" w:hanging="426"/>
        <w:rPr>
          <w:rFonts w:asciiTheme="minorHAnsi" w:hAnsiTheme="minorHAnsi" w:cstheme="minorHAnsi"/>
          <w:b w:val="0"/>
          <w:sz w:val="22"/>
          <w:szCs w:val="22"/>
        </w:rPr>
      </w:pPr>
      <w:r w:rsidRPr="00292C31">
        <w:rPr>
          <w:rFonts w:asciiTheme="minorHAnsi" w:hAnsiTheme="minorHAnsi" w:cstheme="minorHAnsi"/>
          <w:sz w:val="22"/>
          <w:szCs w:val="22"/>
        </w:rPr>
        <w:t>TYPES OF DATA HELD</w:t>
      </w:r>
    </w:p>
    <w:p w:rsidR="009D04F2" w:rsidRPr="00292C31" w:rsidRDefault="009D04F2" w:rsidP="00AE6875">
      <w:pPr>
        <w:spacing w:after="0" w:line="240" w:lineRule="auto"/>
        <w:jc w:val="both"/>
        <w:rPr>
          <w:rFonts w:cstheme="minorHAnsi"/>
        </w:rPr>
      </w:pPr>
      <w:r w:rsidRPr="00292C31">
        <w:rPr>
          <w:rFonts w:cstheme="minorHAnsi"/>
        </w:rPr>
        <w:t xml:space="preserve">We keep several categories of personal data on our </w:t>
      </w:r>
      <w:r w:rsidR="009E64FA">
        <w:rPr>
          <w:rFonts w:cstheme="minorHAnsi"/>
        </w:rPr>
        <w:t>young adults</w:t>
      </w:r>
      <w:r w:rsidRPr="00292C31">
        <w:rPr>
          <w:rFonts w:cstheme="minorHAnsi"/>
        </w:rPr>
        <w:t xml:space="preserve"> in order to carry out effective and efficient processes. We keep this data in a file relating to each </w:t>
      </w:r>
      <w:r w:rsidR="009E64FA">
        <w:rPr>
          <w:rFonts w:cstheme="minorHAnsi"/>
        </w:rPr>
        <w:t xml:space="preserve">young adult </w:t>
      </w:r>
      <w:r w:rsidRPr="00292C31">
        <w:rPr>
          <w:rFonts w:cstheme="minorHAnsi"/>
        </w:rPr>
        <w:t>and we also hold the data within our computer systems</w:t>
      </w:r>
      <w:r w:rsidR="00CA78AC" w:rsidRPr="00292C31">
        <w:rPr>
          <w:rFonts w:cstheme="minorHAnsi"/>
        </w:rPr>
        <w:t>.</w:t>
      </w:r>
    </w:p>
    <w:p w:rsidR="00CA78AC" w:rsidRPr="00292C31" w:rsidRDefault="00CA78AC" w:rsidP="00AE6875">
      <w:pPr>
        <w:spacing w:after="0" w:line="240" w:lineRule="auto"/>
        <w:jc w:val="both"/>
        <w:rPr>
          <w:rFonts w:cstheme="minorHAnsi"/>
        </w:rPr>
      </w:pPr>
    </w:p>
    <w:p w:rsidR="009D04F2" w:rsidRPr="00292C31" w:rsidRDefault="009D04F2" w:rsidP="00AE6875">
      <w:pPr>
        <w:spacing w:after="0" w:line="240" w:lineRule="auto"/>
        <w:jc w:val="both"/>
        <w:rPr>
          <w:rFonts w:cstheme="minorHAnsi"/>
        </w:rPr>
      </w:pPr>
      <w:r w:rsidRPr="00292C31">
        <w:rPr>
          <w:rFonts w:cstheme="minorHAnsi"/>
        </w:rPr>
        <w:t>Specifically, we hold the following types of data:</w:t>
      </w:r>
    </w:p>
    <w:p w:rsidR="00561B3F" w:rsidRPr="00292C31" w:rsidRDefault="00561B3F" w:rsidP="00561B3F">
      <w:pPr>
        <w:spacing w:after="0" w:line="240" w:lineRule="auto"/>
        <w:jc w:val="both"/>
        <w:rPr>
          <w:rFonts w:cstheme="minorHAnsi"/>
        </w:rPr>
      </w:pPr>
    </w:p>
    <w:p w:rsidR="00042890" w:rsidRPr="00042890" w:rsidRDefault="00042890" w:rsidP="00042890">
      <w:pPr>
        <w:pStyle w:val="NoSpacing"/>
        <w:numPr>
          <w:ilvl w:val="0"/>
          <w:numId w:val="18"/>
        </w:numPr>
      </w:pPr>
      <w:r w:rsidRPr="00042890">
        <w:t>Pen Pictures</w:t>
      </w:r>
    </w:p>
    <w:p w:rsidR="00042890" w:rsidRPr="00042890" w:rsidRDefault="00042890" w:rsidP="00042890">
      <w:pPr>
        <w:pStyle w:val="NoSpacing"/>
        <w:numPr>
          <w:ilvl w:val="0"/>
          <w:numId w:val="18"/>
        </w:numPr>
      </w:pPr>
      <w:r>
        <w:t>R</w:t>
      </w:r>
      <w:r w:rsidRPr="00042890">
        <w:t>eferral forms</w:t>
      </w:r>
    </w:p>
    <w:p w:rsidR="00042890" w:rsidRPr="00042890" w:rsidRDefault="00042890" w:rsidP="00042890">
      <w:pPr>
        <w:pStyle w:val="NoSpacing"/>
        <w:numPr>
          <w:ilvl w:val="0"/>
          <w:numId w:val="18"/>
        </w:numPr>
      </w:pPr>
      <w:r>
        <w:t>A</w:t>
      </w:r>
      <w:r w:rsidRPr="00042890">
        <w:t>ssessments</w:t>
      </w:r>
    </w:p>
    <w:p w:rsidR="00042890" w:rsidRPr="00042890" w:rsidRDefault="00042890" w:rsidP="00042890">
      <w:pPr>
        <w:pStyle w:val="NoSpacing"/>
        <w:numPr>
          <w:ilvl w:val="0"/>
          <w:numId w:val="18"/>
        </w:numPr>
      </w:pPr>
      <w:r>
        <w:lastRenderedPageBreak/>
        <w:t>Short Breaks Care P</w:t>
      </w:r>
      <w:r w:rsidRPr="00042890">
        <w:t>lan</w:t>
      </w:r>
    </w:p>
    <w:p w:rsidR="00042890" w:rsidRPr="00042890" w:rsidRDefault="00042890" w:rsidP="00042890">
      <w:pPr>
        <w:pStyle w:val="NoSpacing"/>
        <w:numPr>
          <w:ilvl w:val="0"/>
          <w:numId w:val="18"/>
        </w:numPr>
      </w:pPr>
      <w:r w:rsidRPr="00042890">
        <w:t>Other Community Support Plan</w:t>
      </w:r>
    </w:p>
    <w:p w:rsidR="00042890" w:rsidRPr="00042890" w:rsidRDefault="00042890" w:rsidP="00042890">
      <w:pPr>
        <w:pStyle w:val="NoSpacing"/>
        <w:numPr>
          <w:ilvl w:val="0"/>
          <w:numId w:val="18"/>
        </w:numPr>
      </w:pPr>
      <w:r w:rsidRPr="00042890">
        <w:t>Statutory Care Plan</w:t>
      </w:r>
    </w:p>
    <w:p w:rsidR="00042890" w:rsidRPr="00042890" w:rsidRDefault="00042890" w:rsidP="00042890">
      <w:pPr>
        <w:pStyle w:val="NoSpacing"/>
        <w:numPr>
          <w:ilvl w:val="0"/>
          <w:numId w:val="18"/>
        </w:numPr>
      </w:pPr>
      <w:r w:rsidRPr="00042890">
        <w:t>E</w:t>
      </w:r>
      <w:r>
        <w:t xml:space="preserve">ducation, </w:t>
      </w:r>
      <w:r w:rsidRPr="00042890">
        <w:t>H</w:t>
      </w:r>
      <w:r>
        <w:t xml:space="preserve">ealth and </w:t>
      </w:r>
      <w:r w:rsidRPr="00042890">
        <w:t>C</w:t>
      </w:r>
      <w:r>
        <w:t xml:space="preserve">are </w:t>
      </w:r>
      <w:r w:rsidRPr="00042890">
        <w:t>P</w:t>
      </w:r>
      <w:r>
        <w:t>lan</w:t>
      </w:r>
    </w:p>
    <w:p w:rsidR="00042890" w:rsidRPr="00042890" w:rsidRDefault="00140EB5" w:rsidP="00042890">
      <w:pPr>
        <w:pStyle w:val="NoSpacing"/>
        <w:numPr>
          <w:ilvl w:val="0"/>
          <w:numId w:val="18"/>
        </w:numPr>
      </w:pPr>
      <w:r>
        <w:t>Continuing Health Care Plan</w:t>
      </w:r>
    </w:p>
    <w:p w:rsidR="00042890" w:rsidRPr="00042890" w:rsidRDefault="00042890" w:rsidP="00042890">
      <w:pPr>
        <w:pStyle w:val="NoSpacing"/>
        <w:numPr>
          <w:ilvl w:val="0"/>
          <w:numId w:val="18"/>
        </w:numPr>
      </w:pPr>
      <w:r w:rsidRPr="00042890">
        <w:t xml:space="preserve">Health related routines </w:t>
      </w:r>
    </w:p>
    <w:p w:rsidR="00042890" w:rsidRPr="00042890" w:rsidRDefault="00042890" w:rsidP="00042890">
      <w:pPr>
        <w:pStyle w:val="NoSpacing"/>
        <w:numPr>
          <w:ilvl w:val="0"/>
          <w:numId w:val="18"/>
        </w:numPr>
      </w:pPr>
      <w:r w:rsidRPr="00042890">
        <w:t>Personal Handling Plan</w:t>
      </w:r>
    </w:p>
    <w:p w:rsidR="00042890" w:rsidRPr="00042890" w:rsidRDefault="00042890" w:rsidP="00042890">
      <w:pPr>
        <w:pStyle w:val="NoSpacing"/>
        <w:numPr>
          <w:ilvl w:val="0"/>
          <w:numId w:val="18"/>
        </w:numPr>
      </w:pPr>
      <w:r w:rsidRPr="00042890">
        <w:t>Dietetic Plan</w:t>
      </w:r>
    </w:p>
    <w:p w:rsidR="00042890" w:rsidRPr="00042890" w:rsidRDefault="00042890" w:rsidP="00042890">
      <w:pPr>
        <w:pStyle w:val="NoSpacing"/>
        <w:numPr>
          <w:ilvl w:val="0"/>
          <w:numId w:val="18"/>
        </w:numPr>
      </w:pPr>
      <w:r w:rsidRPr="00042890">
        <w:t>Medication Information</w:t>
      </w:r>
    </w:p>
    <w:p w:rsidR="00042890" w:rsidRPr="00042890" w:rsidRDefault="00140EB5" w:rsidP="00042890">
      <w:pPr>
        <w:pStyle w:val="NoSpacing"/>
        <w:numPr>
          <w:ilvl w:val="0"/>
          <w:numId w:val="18"/>
        </w:numPr>
      </w:pPr>
      <w:r>
        <w:t>Medication administration record</w:t>
      </w:r>
    </w:p>
    <w:p w:rsidR="00042890" w:rsidRPr="00042890" w:rsidRDefault="00042890" w:rsidP="00042890">
      <w:pPr>
        <w:pStyle w:val="NoSpacing"/>
        <w:numPr>
          <w:ilvl w:val="0"/>
          <w:numId w:val="18"/>
        </w:numPr>
      </w:pPr>
      <w:r w:rsidRPr="00042890">
        <w:t>Sleep systems Plans</w:t>
      </w:r>
    </w:p>
    <w:p w:rsidR="00042890" w:rsidRPr="00042890" w:rsidRDefault="00042890" w:rsidP="00042890">
      <w:pPr>
        <w:pStyle w:val="NoSpacing"/>
        <w:numPr>
          <w:ilvl w:val="0"/>
          <w:numId w:val="18"/>
        </w:numPr>
      </w:pPr>
      <w:r w:rsidRPr="00042890">
        <w:t>Food Intake Chart</w:t>
      </w:r>
    </w:p>
    <w:p w:rsidR="00042890" w:rsidRPr="00042890" w:rsidRDefault="00042890" w:rsidP="00042890">
      <w:pPr>
        <w:pStyle w:val="NoSpacing"/>
        <w:numPr>
          <w:ilvl w:val="0"/>
          <w:numId w:val="18"/>
        </w:numPr>
      </w:pPr>
      <w:r w:rsidRPr="00042890">
        <w:t>Incident</w:t>
      </w:r>
      <w:r w:rsidR="00140EB5">
        <w:t xml:space="preserve"> reports</w:t>
      </w:r>
    </w:p>
    <w:p w:rsidR="00042890" w:rsidRPr="00042890" w:rsidRDefault="00042890" w:rsidP="00042890">
      <w:pPr>
        <w:pStyle w:val="NoSpacing"/>
        <w:numPr>
          <w:ilvl w:val="0"/>
          <w:numId w:val="18"/>
        </w:numPr>
      </w:pPr>
      <w:r w:rsidRPr="00042890">
        <w:t>Accident</w:t>
      </w:r>
      <w:r w:rsidR="00140EB5">
        <w:t xml:space="preserve"> reports</w:t>
      </w:r>
    </w:p>
    <w:p w:rsidR="00042890" w:rsidRPr="00042890" w:rsidRDefault="00042890" w:rsidP="00042890">
      <w:pPr>
        <w:pStyle w:val="NoSpacing"/>
        <w:numPr>
          <w:ilvl w:val="0"/>
          <w:numId w:val="18"/>
        </w:numPr>
      </w:pPr>
      <w:r w:rsidRPr="00042890">
        <w:t>Body Map</w:t>
      </w:r>
    </w:p>
    <w:p w:rsidR="00042890" w:rsidRPr="00042890" w:rsidRDefault="00140EB5" w:rsidP="00042890">
      <w:pPr>
        <w:pStyle w:val="NoSpacing"/>
        <w:numPr>
          <w:ilvl w:val="0"/>
          <w:numId w:val="18"/>
        </w:numPr>
      </w:pPr>
      <w:r>
        <w:t>Attendance r</w:t>
      </w:r>
      <w:r w:rsidR="00042890" w:rsidRPr="00042890">
        <w:t>egisters</w:t>
      </w:r>
    </w:p>
    <w:p w:rsidR="00042890" w:rsidRPr="00042890" w:rsidRDefault="00042890" w:rsidP="00042890">
      <w:pPr>
        <w:pStyle w:val="NoSpacing"/>
        <w:numPr>
          <w:ilvl w:val="0"/>
          <w:numId w:val="18"/>
        </w:numPr>
      </w:pPr>
      <w:r w:rsidRPr="00042890">
        <w:t>Risk Assessments</w:t>
      </w:r>
    </w:p>
    <w:p w:rsidR="00042890" w:rsidRPr="00042890" w:rsidRDefault="00042890" w:rsidP="00042890">
      <w:pPr>
        <w:pStyle w:val="NoSpacing"/>
        <w:numPr>
          <w:ilvl w:val="0"/>
          <w:numId w:val="18"/>
        </w:numPr>
      </w:pPr>
      <w:r w:rsidRPr="00042890">
        <w:t>Behaviour Strategies</w:t>
      </w:r>
    </w:p>
    <w:p w:rsidR="00042890" w:rsidRPr="00042890" w:rsidRDefault="00042890" w:rsidP="00042890">
      <w:pPr>
        <w:pStyle w:val="NoSpacing"/>
        <w:numPr>
          <w:ilvl w:val="0"/>
          <w:numId w:val="18"/>
        </w:numPr>
      </w:pPr>
      <w:r w:rsidRPr="00042890">
        <w:t>Invoices</w:t>
      </w:r>
    </w:p>
    <w:p w:rsidR="00042890" w:rsidRPr="00042890" w:rsidRDefault="00042890" w:rsidP="00042890">
      <w:pPr>
        <w:pStyle w:val="NoSpacing"/>
        <w:numPr>
          <w:ilvl w:val="0"/>
          <w:numId w:val="18"/>
        </w:numPr>
      </w:pPr>
      <w:r>
        <w:t xml:space="preserve">Daily </w:t>
      </w:r>
      <w:r w:rsidRPr="00042890">
        <w:t>Logs</w:t>
      </w:r>
    </w:p>
    <w:p w:rsidR="00042890" w:rsidRDefault="008736C2" w:rsidP="00042890">
      <w:pPr>
        <w:pStyle w:val="NoSpacing"/>
        <w:numPr>
          <w:ilvl w:val="0"/>
          <w:numId w:val="18"/>
        </w:numPr>
      </w:pPr>
      <w:r w:rsidRPr="00042890">
        <w:t>D</w:t>
      </w:r>
      <w:r>
        <w:t>eprivation of Liberty order</w:t>
      </w:r>
    </w:p>
    <w:p w:rsidR="008736C2" w:rsidRPr="00042890" w:rsidRDefault="008736C2" w:rsidP="00042890">
      <w:pPr>
        <w:pStyle w:val="NoSpacing"/>
        <w:numPr>
          <w:ilvl w:val="0"/>
          <w:numId w:val="18"/>
        </w:numPr>
      </w:pPr>
      <w:r>
        <w:t>Mental Capacity assessment</w:t>
      </w:r>
    </w:p>
    <w:p w:rsidR="00042890" w:rsidRPr="00042890" w:rsidRDefault="00140EB5" w:rsidP="00042890">
      <w:pPr>
        <w:pStyle w:val="NoSpacing"/>
        <w:numPr>
          <w:ilvl w:val="0"/>
          <w:numId w:val="18"/>
        </w:numPr>
      </w:pPr>
      <w:r>
        <w:t>1:1 Session notes</w:t>
      </w:r>
    </w:p>
    <w:p w:rsidR="00042890" w:rsidRPr="00042890" w:rsidRDefault="00042890" w:rsidP="00042890">
      <w:pPr>
        <w:pStyle w:val="NoSpacing"/>
        <w:numPr>
          <w:ilvl w:val="0"/>
          <w:numId w:val="18"/>
        </w:numPr>
      </w:pPr>
      <w:r w:rsidRPr="00042890">
        <w:t>Personal belongings list</w:t>
      </w:r>
    </w:p>
    <w:p w:rsidR="00042890" w:rsidRPr="00042890" w:rsidRDefault="00042890" w:rsidP="00042890">
      <w:pPr>
        <w:pStyle w:val="NoSpacing"/>
        <w:numPr>
          <w:ilvl w:val="0"/>
          <w:numId w:val="18"/>
        </w:numPr>
      </w:pPr>
      <w:r w:rsidRPr="00042890">
        <w:t>Progress Report</w:t>
      </w:r>
    </w:p>
    <w:p w:rsidR="0083140E" w:rsidRDefault="00042890" w:rsidP="00042890">
      <w:pPr>
        <w:pStyle w:val="NoSpacing"/>
        <w:numPr>
          <w:ilvl w:val="0"/>
          <w:numId w:val="18"/>
        </w:numPr>
      </w:pPr>
      <w:r w:rsidRPr="00042890">
        <w:t>Near Miss</w:t>
      </w:r>
      <w:r w:rsidR="00140EB5">
        <w:t xml:space="preserve"> record</w:t>
      </w:r>
    </w:p>
    <w:p w:rsidR="003B7DD7" w:rsidRPr="00042890" w:rsidRDefault="003B7DD7" w:rsidP="003B7DD7">
      <w:pPr>
        <w:pStyle w:val="NoSpacing"/>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COLLECTING YOUR DATA</w:t>
      </w:r>
    </w:p>
    <w:p w:rsidR="00D136E4" w:rsidRPr="00292C31" w:rsidRDefault="00E0728C" w:rsidP="00AE6875">
      <w:pPr>
        <w:spacing w:after="0" w:line="240" w:lineRule="auto"/>
        <w:jc w:val="both"/>
        <w:rPr>
          <w:rFonts w:cstheme="minorHAnsi"/>
        </w:rPr>
      </w:pPr>
      <w:r w:rsidRPr="00292C31">
        <w:rPr>
          <w:rFonts w:cstheme="minorHAnsi"/>
        </w:rPr>
        <w:t xml:space="preserve">You provide several pieces of data to us directly during the </w:t>
      </w:r>
      <w:r w:rsidR="00C97E8F" w:rsidRPr="00292C31">
        <w:rPr>
          <w:rFonts w:cstheme="minorHAnsi"/>
        </w:rPr>
        <w:t>initial assessment</w:t>
      </w:r>
      <w:r w:rsidRPr="00292C31">
        <w:rPr>
          <w:rFonts w:cstheme="minorHAnsi"/>
        </w:rPr>
        <w:t xml:space="preserve"> period</w:t>
      </w:r>
      <w:r w:rsidR="00D136E4" w:rsidRPr="00292C31">
        <w:rPr>
          <w:rFonts w:cstheme="minorHAnsi"/>
        </w:rPr>
        <w:t xml:space="preserve"> </w:t>
      </w:r>
      <w:r w:rsidRPr="00292C31">
        <w:rPr>
          <w:rFonts w:cstheme="minorHAnsi"/>
        </w:rPr>
        <w:t xml:space="preserve">and subsequently upon the start of your </w:t>
      </w:r>
      <w:r w:rsidR="00C97E8F" w:rsidRPr="00292C31">
        <w:rPr>
          <w:rFonts w:cstheme="minorHAnsi"/>
        </w:rPr>
        <w:t>placement</w:t>
      </w:r>
      <w:r w:rsidRPr="00292C31">
        <w:rPr>
          <w:rFonts w:cstheme="minorHAnsi"/>
        </w:rPr>
        <w:t>.</w:t>
      </w:r>
    </w:p>
    <w:p w:rsidR="00BA2A3B" w:rsidRPr="00292C31" w:rsidRDefault="00BA2A3B"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some cases, we will collect data about you from third parties, such as </w:t>
      </w:r>
      <w:r w:rsidR="009E64FA">
        <w:rPr>
          <w:rFonts w:cstheme="minorHAnsi"/>
        </w:rPr>
        <w:t>previous placements</w:t>
      </w:r>
      <w:r w:rsidR="00C97E8F" w:rsidRPr="00292C31">
        <w:rPr>
          <w:rFonts w:cstheme="minorHAnsi"/>
        </w:rPr>
        <w:t xml:space="preserve">. </w:t>
      </w:r>
    </w:p>
    <w:p w:rsidR="00BA2A3B" w:rsidRPr="00292C31" w:rsidRDefault="00BA2A3B" w:rsidP="00AE6875">
      <w:pPr>
        <w:spacing w:after="0" w:line="240" w:lineRule="auto"/>
        <w:jc w:val="both"/>
        <w:rPr>
          <w:rFonts w:cstheme="minorHAnsi"/>
        </w:rPr>
      </w:pPr>
    </w:p>
    <w:p w:rsidR="00BA2A3B" w:rsidRPr="00292C31" w:rsidRDefault="00D136E4" w:rsidP="00AE6875">
      <w:pPr>
        <w:spacing w:after="0" w:line="240" w:lineRule="auto"/>
        <w:jc w:val="both"/>
        <w:rPr>
          <w:rFonts w:cstheme="minorHAnsi"/>
        </w:rPr>
      </w:pPr>
      <w:r w:rsidRPr="00292C31">
        <w:rPr>
          <w:rFonts w:cstheme="minorHAnsi"/>
        </w:rPr>
        <w:t xml:space="preserve">Personal data is kept in </w:t>
      </w:r>
      <w:r w:rsidR="00F21493" w:rsidRPr="00292C31">
        <w:rPr>
          <w:rFonts w:cstheme="minorHAnsi"/>
        </w:rPr>
        <w:t xml:space="preserve">electronic </w:t>
      </w:r>
      <w:r w:rsidRPr="00292C31">
        <w:rPr>
          <w:rFonts w:cstheme="minorHAnsi"/>
        </w:rPr>
        <w:t>files or within the Company’s IT systems.</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LAWFUL BASIS FOR PROCESSING</w:t>
      </w:r>
    </w:p>
    <w:p w:rsidR="00D136E4" w:rsidRPr="00292C31" w:rsidRDefault="00D136E4" w:rsidP="00AE6875">
      <w:pPr>
        <w:spacing w:after="0" w:line="240" w:lineRule="auto"/>
        <w:jc w:val="both"/>
        <w:rPr>
          <w:rFonts w:cstheme="minorHAnsi"/>
        </w:rPr>
      </w:pPr>
      <w:r w:rsidRPr="00292C31">
        <w:rPr>
          <w:rFonts w:cstheme="minorHAnsi"/>
        </w:rPr>
        <w:t>The law on data protection allows us to process your</w:t>
      </w:r>
      <w:r w:rsidR="00167C9F" w:rsidRPr="00292C31">
        <w:rPr>
          <w:rFonts w:cstheme="minorHAnsi"/>
        </w:rPr>
        <w:t xml:space="preserve"> data for certain reasons only. In the main, we process your data in order to </w:t>
      </w:r>
      <w:r w:rsidR="00FE2819" w:rsidRPr="00292C31">
        <w:rPr>
          <w:rFonts w:cstheme="minorHAnsi"/>
        </w:rPr>
        <w:t>comply with a legal requirement, Compliance with relevant regulations, provide best quality care and provide continuity of care.</w:t>
      </w:r>
    </w:p>
    <w:p w:rsidR="006731FD" w:rsidRPr="00292C31" w:rsidRDefault="006731FD"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SPECIAL CATEGORIES OF DATA</w:t>
      </w:r>
    </w:p>
    <w:p w:rsidR="00D136E4" w:rsidRPr="00292C31" w:rsidRDefault="00D136E4" w:rsidP="00AE6875">
      <w:pPr>
        <w:spacing w:after="0" w:line="240" w:lineRule="auto"/>
        <w:jc w:val="both"/>
        <w:rPr>
          <w:rFonts w:cstheme="minorHAnsi"/>
        </w:rPr>
      </w:pPr>
      <w:r w:rsidRPr="00292C31">
        <w:rPr>
          <w:rFonts w:cstheme="minorHAnsi"/>
        </w:rPr>
        <w:t xml:space="preserve">Special categories of data are data relating to your: </w:t>
      </w:r>
    </w:p>
    <w:p w:rsidR="00B05E3B" w:rsidRPr="00292C31" w:rsidRDefault="00B05E3B" w:rsidP="00AE6875">
      <w:pPr>
        <w:spacing w:after="0" w:line="240" w:lineRule="auto"/>
        <w:jc w:val="both"/>
        <w:rPr>
          <w:rFonts w:cstheme="minorHAnsi"/>
        </w:rPr>
      </w:pP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health</w:t>
      </w:r>
    </w:p>
    <w:p w:rsidR="00B27785" w:rsidRPr="00292C31" w:rsidRDefault="00B27785" w:rsidP="00AE6875">
      <w:pPr>
        <w:pStyle w:val="ListParagraph"/>
        <w:numPr>
          <w:ilvl w:val="1"/>
          <w:numId w:val="2"/>
        </w:numPr>
        <w:spacing w:after="0" w:line="240" w:lineRule="auto"/>
        <w:ind w:left="709" w:hanging="283"/>
        <w:jc w:val="both"/>
        <w:rPr>
          <w:rFonts w:cstheme="minorHAnsi"/>
        </w:rPr>
      </w:pPr>
      <w:r w:rsidRPr="00292C31">
        <w:rPr>
          <w:rFonts w:cstheme="minorHAnsi"/>
        </w:rPr>
        <w:t>sex life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sexual orientation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race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ethnic origin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political opinion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lastRenderedPageBreak/>
        <w:t>religion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trade union membership </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genetic and biometric data.</w:t>
      </w:r>
    </w:p>
    <w:p w:rsidR="00BA2A3B" w:rsidRPr="00292C31" w:rsidRDefault="00BA2A3B" w:rsidP="00AE6875">
      <w:pPr>
        <w:pStyle w:val="ListParagraph"/>
        <w:spacing w:after="0" w:line="240" w:lineRule="auto"/>
        <w:ind w:left="709"/>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We </w:t>
      </w:r>
      <w:r w:rsidR="00E72328" w:rsidRPr="00292C31">
        <w:rPr>
          <w:rFonts w:cstheme="minorHAnsi"/>
        </w:rPr>
        <w:t>carry out processing activities using special category data:</w:t>
      </w:r>
    </w:p>
    <w:p w:rsidR="00E72328" w:rsidRPr="00292C31" w:rsidRDefault="00E72328" w:rsidP="00AE6875">
      <w:pPr>
        <w:spacing w:after="0" w:line="240" w:lineRule="auto"/>
        <w:jc w:val="both"/>
        <w:rPr>
          <w:rFonts w:cstheme="minorHAnsi"/>
        </w:rPr>
      </w:pP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for the purposes of equal opportunities monitoring</w:t>
      </w: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to determine reasonable adjustments</w:t>
      </w:r>
    </w:p>
    <w:p w:rsidR="00E72328" w:rsidRPr="00292C31" w:rsidRDefault="00E72328" w:rsidP="00AE6875">
      <w:pPr>
        <w:spacing w:after="0" w:line="240" w:lineRule="auto"/>
        <w:jc w:val="both"/>
        <w:rPr>
          <w:rFonts w:cstheme="minorHAnsi"/>
        </w:rPr>
      </w:pPr>
    </w:p>
    <w:p w:rsidR="00E72328" w:rsidRPr="00292C31" w:rsidRDefault="00E72328" w:rsidP="00AE6875">
      <w:pPr>
        <w:spacing w:after="0" w:line="240" w:lineRule="auto"/>
        <w:jc w:val="both"/>
        <w:rPr>
          <w:rFonts w:cstheme="minorHAnsi"/>
        </w:rPr>
      </w:pPr>
      <w:r w:rsidRPr="00292C31">
        <w:rPr>
          <w:rFonts w:cstheme="minorHAnsi"/>
        </w:rPr>
        <w:t>Most commonly, we will process special categories of data when the following applies:</w:t>
      </w:r>
    </w:p>
    <w:p w:rsidR="00E72328" w:rsidRPr="00292C31" w:rsidRDefault="00E72328" w:rsidP="00AE6875">
      <w:pPr>
        <w:spacing w:after="0" w:line="240" w:lineRule="auto"/>
        <w:jc w:val="both"/>
        <w:rPr>
          <w:rFonts w:cstheme="minorHAnsi"/>
        </w:rPr>
      </w:pP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given explicit consent to the processing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we must process the data in order to carry out our legal obligations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we must process data for reasons of substantial public interest</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already made the data public. </w:t>
      </w:r>
    </w:p>
    <w:p w:rsidR="00736745" w:rsidRPr="00292C31" w:rsidRDefault="00736745"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WHO WE SHARE YOUR DATA WITH</w:t>
      </w:r>
    </w:p>
    <w:p w:rsidR="00D136E4" w:rsidRPr="00292C31" w:rsidRDefault="00603B56" w:rsidP="00AE6875">
      <w:pPr>
        <w:spacing w:after="0" w:line="240" w:lineRule="auto"/>
        <w:jc w:val="both"/>
        <w:rPr>
          <w:rFonts w:cstheme="minorHAnsi"/>
        </w:rPr>
      </w:pPr>
      <w:r w:rsidRPr="00292C31">
        <w:rPr>
          <w:rFonts w:cstheme="minorHAnsi"/>
        </w:rPr>
        <w:t>Employees within our c</w:t>
      </w:r>
      <w:r w:rsidR="001D4549" w:rsidRPr="00292C31">
        <w:rPr>
          <w:rFonts w:cstheme="minorHAnsi"/>
        </w:rPr>
        <w:t xml:space="preserve">ompany who have responsibility for </w:t>
      </w:r>
      <w:r w:rsidR="00C97E8F" w:rsidRPr="00292C31">
        <w:rPr>
          <w:rFonts w:cstheme="minorHAnsi"/>
        </w:rPr>
        <w:t>initial assessments, placements</w:t>
      </w:r>
      <w:r w:rsidR="001D4549" w:rsidRPr="00292C31">
        <w:rPr>
          <w:rFonts w:cstheme="minorHAnsi"/>
        </w:rPr>
        <w:t xml:space="preserve">,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292C31" w:rsidRDefault="00FC3B47" w:rsidP="00AE6875">
      <w:pPr>
        <w:spacing w:after="0" w:line="240" w:lineRule="auto"/>
        <w:jc w:val="both"/>
        <w:rPr>
          <w:rFonts w:cstheme="minorHAnsi"/>
        </w:rPr>
      </w:pPr>
    </w:p>
    <w:p w:rsidR="00F21493" w:rsidRPr="00292C31" w:rsidRDefault="00B859EB" w:rsidP="00AE6875">
      <w:pPr>
        <w:spacing w:after="0" w:line="240" w:lineRule="auto"/>
        <w:jc w:val="both"/>
        <w:rPr>
          <w:rFonts w:cstheme="minorHAnsi"/>
        </w:rPr>
      </w:pPr>
      <w:r w:rsidRPr="00292C31">
        <w:rPr>
          <w:rFonts w:cstheme="minorHAnsi"/>
        </w:rPr>
        <w:t xml:space="preserve">Data is shared with the following </w:t>
      </w:r>
      <w:r w:rsidR="001F1DF8" w:rsidRPr="00292C31">
        <w:rPr>
          <w:rFonts w:cstheme="minorHAnsi"/>
        </w:rPr>
        <w:t>people</w:t>
      </w:r>
      <w:r w:rsidRPr="00292C31">
        <w:rPr>
          <w:rFonts w:cstheme="minorHAnsi"/>
        </w:rPr>
        <w:t xml:space="preserve">: </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Local Authority</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Progress Employees as required</w:t>
      </w:r>
    </w:p>
    <w:p w:rsidR="001F1DF8" w:rsidRDefault="001F1DF8" w:rsidP="00213F18">
      <w:pPr>
        <w:pStyle w:val="ListParagraph"/>
        <w:numPr>
          <w:ilvl w:val="0"/>
          <w:numId w:val="15"/>
        </w:numPr>
        <w:spacing w:after="0" w:line="240" w:lineRule="auto"/>
        <w:jc w:val="both"/>
        <w:rPr>
          <w:rFonts w:cstheme="minorHAnsi"/>
        </w:rPr>
      </w:pPr>
      <w:r w:rsidRPr="00292C31">
        <w:rPr>
          <w:rFonts w:cstheme="minorHAnsi"/>
        </w:rPr>
        <w:t>Agency staff as required</w:t>
      </w:r>
    </w:p>
    <w:p w:rsidR="00213F18" w:rsidRPr="00213F18" w:rsidRDefault="00213F18" w:rsidP="00213F18">
      <w:pPr>
        <w:pStyle w:val="ListParagraph"/>
        <w:numPr>
          <w:ilvl w:val="0"/>
          <w:numId w:val="15"/>
        </w:numPr>
        <w:spacing w:after="0" w:line="240" w:lineRule="auto"/>
        <w:jc w:val="both"/>
        <w:rPr>
          <w:rFonts w:cstheme="minorHAnsi"/>
        </w:rPr>
      </w:pPr>
      <w:r>
        <w:rPr>
          <w:rFonts w:cstheme="minorHAnsi"/>
        </w:rPr>
        <w:t>College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Compliance Officers</w:t>
      </w:r>
    </w:p>
    <w:p w:rsidR="001F1DF8" w:rsidRPr="00292C31" w:rsidRDefault="004C520D" w:rsidP="001F1DF8">
      <w:pPr>
        <w:pStyle w:val="ListParagraph"/>
        <w:numPr>
          <w:ilvl w:val="0"/>
          <w:numId w:val="15"/>
        </w:numPr>
        <w:spacing w:after="0" w:line="240" w:lineRule="auto"/>
        <w:jc w:val="both"/>
        <w:rPr>
          <w:rFonts w:cstheme="minorHAnsi"/>
        </w:rPr>
      </w:pPr>
      <w:r>
        <w:rPr>
          <w:rFonts w:cstheme="minorHAnsi"/>
        </w:rPr>
        <w:t>CQC where covered by regulated activity</w:t>
      </w:r>
    </w:p>
    <w:p w:rsidR="001F1DF8" w:rsidRPr="00292C31" w:rsidRDefault="004C520D" w:rsidP="001F1DF8">
      <w:pPr>
        <w:pStyle w:val="ListParagraph"/>
        <w:numPr>
          <w:ilvl w:val="0"/>
          <w:numId w:val="15"/>
        </w:numPr>
        <w:spacing w:after="0" w:line="240" w:lineRule="auto"/>
        <w:jc w:val="both"/>
        <w:rPr>
          <w:rFonts w:cstheme="minorHAnsi"/>
        </w:rPr>
      </w:pPr>
      <w:r>
        <w:rPr>
          <w:rFonts w:cstheme="minorHAnsi"/>
        </w:rPr>
        <w:t>Independent Inspector</w:t>
      </w:r>
    </w:p>
    <w:p w:rsidR="001F1DF8" w:rsidRPr="00292C31" w:rsidRDefault="00C97E8F" w:rsidP="001F1DF8">
      <w:pPr>
        <w:pStyle w:val="ListParagraph"/>
        <w:numPr>
          <w:ilvl w:val="0"/>
          <w:numId w:val="15"/>
        </w:numPr>
        <w:spacing w:after="0" w:line="240" w:lineRule="auto"/>
        <w:jc w:val="both"/>
        <w:rPr>
          <w:rFonts w:cstheme="minorHAnsi"/>
        </w:rPr>
      </w:pPr>
      <w:r w:rsidRPr="00292C31">
        <w:rPr>
          <w:rFonts w:cstheme="minorHAnsi"/>
        </w:rPr>
        <w:t>R</w:t>
      </w:r>
      <w:r w:rsidR="001F1DF8" w:rsidRPr="00292C31">
        <w:rPr>
          <w:rFonts w:cstheme="minorHAnsi"/>
        </w:rPr>
        <w:t>elatives as appropriate</w:t>
      </w:r>
    </w:p>
    <w:p w:rsidR="00C97E8F" w:rsidRPr="00292C31" w:rsidRDefault="00C97E8F" w:rsidP="00292C31">
      <w:pPr>
        <w:pStyle w:val="ListParagraph"/>
        <w:spacing w:after="0" w:line="240" w:lineRule="auto"/>
        <w:ind w:left="1429"/>
        <w:jc w:val="both"/>
        <w:rPr>
          <w:rFonts w:cstheme="minorHAnsi"/>
        </w:rPr>
      </w:pPr>
    </w:p>
    <w:p w:rsidR="00D940B2" w:rsidRPr="00292C31" w:rsidRDefault="00D940B2" w:rsidP="00D940B2">
      <w:pPr>
        <w:spacing w:after="0" w:line="240" w:lineRule="auto"/>
        <w:jc w:val="both"/>
        <w:rPr>
          <w:rFonts w:cstheme="minorHAnsi"/>
        </w:rPr>
      </w:pPr>
      <w:r w:rsidRPr="00292C31">
        <w:rPr>
          <w:rFonts w:cstheme="minorHAnsi"/>
        </w:rPr>
        <w:t>We hold and may share your data so we are compliant with relevant regulations, provide best quality care and provide continuity of care.</w:t>
      </w:r>
    </w:p>
    <w:p w:rsidR="001F1DF8" w:rsidRPr="00292C31" w:rsidRDefault="001F1DF8"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We may also share your data with third parties as part of a Company sale or restructure, or for other reasons to comply w</w:t>
      </w:r>
      <w:r w:rsidR="00B859EB" w:rsidRPr="00292C31">
        <w:rPr>
          <w:rFonts w:cstheme="minorHAnsi"/>
        </w:rPr>
        <w:t>ith a legal obligation upon us.</w:t>
      </w:r>
      <w:r w:rsidR="00F157C6" w:rsidRPr="00292C31">
        <w:rPr>
          <w:rFonts w:cstheme="minorHAnsi"/>
        </w:rPr>
        <w:t xml:space="preserve"> We have a data processing agreement in place with such third parties to ensure data is not compromised.</w:t>
      </w:r>
      <w:r w:rsidR="00741EA1" w:rsidRPr="00292C31">
        <w:rPr>
          <w:rFonts w:cstheme="minorHAnsi"/>
        </w:rPr>
        <w:t xml:space="preserve"> Third parties must implement appropriate technical and organisational measures to ensure the security of your data.</w:t>
      </w:r>
    </w:p>
    <w:p w:rsidR="00D136E4" w:rsidRPr="00292C31" w:rsidRDefault="003C1703" w:rsidP="00AE6875">
      <w:pPr>
        <w:spacing w:after="0" w:line="240" w:lineRule="auto"/>
        <w:jc w:val="both"/>
        <w:rPr>
          <w:rFonts w:cstheme="minorHAnsi"/>
        </w:rPr>
      </w:pPr>
      <w:r w:rsidRPr="00292C31">
        <w:rPr>
          <w:rFonts w:cstheme="minorHAnsi"/>
        </w:rPr>
        <w:br/>
      </w:r>
      <w:r w:rsidR="00D136E4" w:rsidRPr="00292C31">
        <w:rPr>
          <w:rFonts w:cstheme="minorHAnsi"/>
        </w:rPr>
        <w:t>We do not share your data with bodies outside of the European Economic Area.</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PROTECTING YOUR DATA</w:t>
      </w:r>
    </w:p>
    <w:p w:rsidR="00D136E4" w:rsidRPr="00292C31" w:rsidRDefault="00D136E4" w:rsidP="00AE6875">
      <w:pPr>
        <w:spacing w:after="0" w:line="240" w:lineRule="auto"/>
        <w:jc w:val="both"/>
        <w:rPr>
          <w:rFonts w:cstheme="minorHAnsi"/>
        </w:rPr>
      </w:pPr>
      <w:r w:rsidRPr="00292C31">
        <w:rPr>
          <w:rFonts w:cstheme="minorHAnsi"/>
        </w:rPr>
        <w:t xml:space="preserve">We are aware of the requirement to ensure your data is protected against accidental loss or disclosure, destruction and abuse. We have implemented processes to guard against such. </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RETENTION PERIODS</w:t>
      </w:r>
    </w:p>
    <w:p w:rsidR="0079426D" w:rsidRPr="00292C31" w:rsidRDefault="00641FC9" w:rsidP="00AE6875">
      <w:pPr>
        <w:spacing w:after="0" w:line="240" w:lineRule="auto"/>
        <w:jc w:val="both"/>
        <w:rPr>
          <w:rFonts w:cstheme="minorHAnsi"/>
        </w:rPr>
      </w:pPr>
      <w:r w:rsidRPr="00292C31">
        <w:rPr>
          <w:rFonts w:cstheme="minorHAnsi"/>
        </w:rPr>
        <w:lastRenderedPageBreak/>
        <w:t>W</w:t>
      </w:r>
      <w:r w:rsidR="00D136E4" w:rsidRPr="00292C31">
        <w:rPr>
          <w:rFonts w:cstheme="minorHAnsi"/>
        </w:rPr>
        <w:t xml:space="preserve">e only keep your data for as long as we need it for though in some cases we will keep your data for a period after your </w:t>
      </w:r>
      <w:r w:rsidR="00C97E8F" w:rsidRPr="00292C31">
        <w:rPr>
          <w:rFonts w:cstheme="minorHAnsi"/>
        </w:rPr>
        <w:t>placement</w:t>
      </w:r>
      <w:r w:rsidR="00D136E4" w:rsidRPr="00292C31">
        <w:rPr>
          <w:rFonts w:cstheme="minorHAnsi"/>
        </w:rPr>
        <w:t xml:space="preserve"> has ended. </w:t>
      </w:r>
      <w:r w:rsidRPr="00292C31">
        <w:rPr>
          <w:rFonts w:cstheme="minorHAnsi"/>
        </w:rPr>
        <w:t xml:space="preserve">Some data retention periods are set by the law. </w:t>
      </w:r>
      <w:r w:rsidR="00D136E4" w:rsidRPr="00292C31">
        <w:rPr>
          <w:rFonts w:cstheme="minorHAnsi"/>
        </w:rPr>
        <w:t>Retention periods can vary depending on why we need your data, as set out below:</w:t>
      </w:r>
    </w:p>
    <w:p w:rsidR="00D136E4" w:rsidRPr="00292C31"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C97E8F" w:rsidTr="00342245">
        <w:trPr>
          <w:trHeight w:val="84"/>
        </w:trPr>
        <w:tc>
          <w:tcPr>
            <w:tcW w:w="4356" w:type="dxa"/>
            <w:shd w:val="clear" w:color="auto" w:fill="BFBFBF" w:themeFill="background1" w:themeFillShade="BF"/>
          </w:tcPr>
          <w:p w:rsidR="00342245" w:rsidRPr="00292C31" w:rsidRDefault="00342245" w:rsidP="00D91C27">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Record </w:t>
            </w:r>
            <w:r w:rsidR="004B67E2" w:rsidRPr="00292C31">
              <w:rPr>
                <w:rFonts w:cstheme="minorHAnsi"/>
                <w:b/>
                <w:bCs/>
                <w:color w:val="000000"/>
              </w:rPr>
              <w:t>pertaining to Foster C</w:t>
            </w:r>
            <w:r w:rsidR="00D91C27" w:rsidRPr="00292C31">
              <w:rPr>
                <w:rFonts w:cstheme="minorHAnsi"/>
                <w:b/>
                <w:bCs/>
                <w:color w:val="000000"/>
              </w:rPr>
              <w:t>hildren</w:t>
            </w:r>
          </w:p>
        </w:tc>
        <w:tc>
          <w:tcPr>
            <w:tcW w:w="4961" w:type="dxa"/>
            <w:shd w:val="clear" w:color="auto" w:fill="BFBFBF" w:themeFill="background1" w:themeFillShade="BF"/>
          </w:tcPr>
          <w:p w:rsidR="00342245" w:rsidRPr="00292C31" w:rsidRDefault="00342245" w:rsidP="00AE6875">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Recommended Retention Period </w:t>
            </w:r>
          </w:p>
        </w:tc>
      </w:tr>
      <w:tr w:rsidR="00D91C27" w:rsidRPr="00C97E8F" w:rsidTr="00342245">
        <w:trPr>
          <w:trHeight w:val="84"/>
        </w:trPr>
        <w:tc>
          <w:tcPr>
            <w:tcW w:w="4356" w:type="dxa"/>
          </w:tcPr>
          <w:p w:rsidR="00D91C27" w:rsidRPr="00042890" w:rsidRDefault="00042890" w:rsidP="00042890">
            <w:pPr>
              <w:pStyle w:val="NoSpacing"/>
            </w:pPr>
            <w:r w:rsidRPr="00042890">
              <w:t>Pen Pictures</w:t>
            </w: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Referral forms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Assessments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38"/>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Short Breaks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557"/>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Other Community Support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Statutory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Education, Health and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C</w:t>
            </w:r>
            <w:r w:rsidR="00140EB5">
              <w:rPr>
                <w:rFonts w:cstheme="minorHAnsi"/>
                <w:color w:val="000000"/>
              </w:rPr>
              <w:t xml:space="preserve">ontinuing </w:t>
            </w:r>
            <w:r w:rsidRPr="00042890">
              <w:rPr>
                <w:rFonts w:cstheme="minorHAnsi"/>
                <w:color w:val="000000"/>
              </w:rPr>
              <w:t>H</w:t>
            </w:r>
            <w:r w:rsidR="00140EB5">
              <w:rPr>
                <w:rFonts w:cstheme="minorHAnsi"/>
                <w:color w:val="000000"/>
              </w:rPr>
              <w:t xml:space="preserve">ealth </w:t>
            </w:r>
            <w:r w:rsidRPr="00042890">
              <w:rPr>
                <w:rFonts w:cstheme="minorHAnsi"/>
                <w:color w:val="000000"/>
              </w:rPr>
              <w:t>C</w:t>
            </w:r>
            <w:r w:rsidR="00140EB5">
              <w:rPr>
                <w:rFonts w:cstheme="minorHAnsi"/>
                <w:color w:val="000000"/>
              </w:rPr>
              <w:t>are</w:t>
            </w:r>
            <w:r w:rsidRPr="00042890">
              <w:rPr>
                <w:rFonts w:cstheme="minorHAnsi"/>
                <w:color w:val="000000"/>
              </w:rPr>
              <w:t xml:space="preserv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 xml:space="preserve">Health related routines </w:t>
            </w:r>
            <w:proofErr w:type="spellStart"/>
            <w:r w:rsidRPr="00042890">
              <w:rPr>
                <w:rFonts w:cstheme="minorHAnsi"/>
                <w:color w:val="000000"/>
              </w:rPr>
              <w:t>eg</w:t>
            </w:r>
            <w:proofErr w:type="spellEnd"/>
            <w:r w:rsidRPr="00042890">
              <w:rPr>
                <w:rFonts w:cstheme="minorHAnsi"/>
                <w:color w:val="000000"/>
              </w:rPr>
              <w:t xml:space="preserve"> epilepsy care plans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Personal Handling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Dietetic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Medication Information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140EB5" w:rsidP="00042890">
            <w:pPr>
              <w:autoSpaceDE w:val="0"/>
              <w:autoSpaceDN w:val="0"/>
              <w:adjustRightInd w:val="0"/>
              <w:spacing w:after="0" w:line="240" w:lineRule="auto"/>
              <w:jc w:val="both"/>
              <w:rPr>
                <w:rFonts w:cstheme="minorHAnsi"/>
                <w:color w:val="000000"/>
              </w:rPr>
            </w:pPr>
            <w:r>
              <w:rPr>
                <w:rFonts w:cstheme="minorHAnsi"/>
                <w:color w:val="000000"/>
              </w:rPr>
              <w:t>Medication administration record</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Sleep systems Plans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Food Intake Chart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Incident</w:t>
            </w:r>
            <w:r>
              <w:rPr>
                <w:rFonts w:cstheme="minorHAnsi"/>
                <w:color w:val="000000"/>
              </w:rPr>
              <w:t xml:space="preserve"> Report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lastRenderedPageBreak/>
              <w:t>Accident</w:t>
            </w:r>
            <w:r>
              <w:rPr>
                <w:rFonts w:cstheme="minorHAnsi"/>
                <w:color w:val="000000"/>
              </w:rPr>
              <w:t xml:space="preserve"> Report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rPr>
                <w:rFonts w:cstheme="minorHAnsi"/>
                <w:color w:val="000000"/>
              </w:rPr>
            </w:pPr>
            <w:r w:rsidRPr="00042890">
              <w:rPr>
                <w:rFonts w:cstheme="minorHAnsi"/>
                <w:color w:val="000000"/>
              </w:rPr>
              <w:t>Body Map</w:t>
            </w:r>
          </w:p>
          <w:p w:rsidR="00D91C27" w:rsidRPr="00292C31" w:rsidRDefault="00D91C27" w:rsidP="00042890">
            <w:pPr>
              <w:autoSpaceDE w:val="0"/>
              <w:autoSpaceDN w:val="0"/>
              <w:adjustRightInd w:val="0"/>
              <w:spacing w:after="0" w:line="240" w:lineRule="auto"/>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Attendance Sheets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Risk Assessments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Behaviour Strategies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Invoices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Daily Logs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042890" w:rsidRPr="00C97E8F" w:rsidTr="00342245">
        <w:trPr>
          <w:trHeight w:val="84"/>
        </w:trPr>
        <w:tc>
          <w:tcPr>
            <w:tcW w:w="4356" w:type="dxa"/>
          </w:tcPr>
          <w:p w:rsidR="00042890" w:rsidRPr="00042890" w:rsidRDefault="00D71176" w:rsidP="00D71176">
            <w:pPr>
              <w:autoSpaceDE w:val="0"/>
              <w:autoSpaceDN w:val="0"/>
              <w:adjustRightInd w:val="0"/>
              <w:spacing w:after="0" w:line="240" w:lineRule="auto"/>
              <w:jc w:val="both"/>
              <w:rPr>
                <w:rFonts w:cstheme="minorHAnsi"/>
                <w:color w:val="000000"/>
              </w:rPr>
            </w:pPr>
            <w:r>
              <w:rPr>
                <w:rFonts w:cstheme="minorHAnsi"/>
                <w:color w:val="000000"/>
              </w:rPr>
              <w:t>Deprivation of Liberty Order</w:t>
            </w:r>
          </w:p>
        </w:tc>
        <w:tc>
          <w:tcPr>
            <w:tcW w:w="4961" w:type="dxa"/>
          </w:tcPr>
          <w:p w:rsidR="00042890" w:rsidRPr="00292C31" w:rsidRDefault="0066526F">
            <w:pPr>
              <w:rPr>
                <w:rFonts w:cstheme="minorHAnsi"/>
                <w:color w:val="000000"/>
              </w:rPr>
            </w:pPr>
            <w:r w:rsidRPr="00292C31">
              <w:rPr>
                <w:rFonts w:cstheme="minorHAnsi"/>
                <w:color w:val="000000"/>
              </w:rPr>
              <w:t>75 years unless child passes away (15 years after death)</w:t>
            </w:r>
          </w:p>
        </w:tc>
      </w:tr>
      <w:tr w:rsidR="00D71176" w:rsidRPr="00C97E8F" w:rsidTr="00342245">
        <w:trPr>
          <w:trHeight w:val="84"/>
        </w:trPr>
        <w:tc>
          <w:tcPr>
            <w:tcW w:w="4356" w:type="dxa"/>
          </w:tcPr>
          <w:p w:rsidR="00D71176" w:rsidRDefault="00D71176" w:rsidP="00042890">
            <w:pPr>
              <w:autoSpaceDE w:val="0"/>
              <w:autoSpaceDN w:val="0"/>
              <w:adjustRightInd w:val="0"/>
              <w:spacing w:after="0" w:line="240" w:lineRule="auto"/>
              <w:jc w:val="both"/>
              <w:rPr>
                <w:rFonts w:cstheme="minorHAnsi"/>
                <w:color w:val="000000"/>
              </w:rPr>
            </w:pPr>
            <w:r>
              <w:rPr>
                <w:rFonts w:cstheme="minorHAnsi"/>
                <w:color w:val="000000"/>
              </w:rPr>
              <w:t>Mental Capacity Assessment</w:t>
            </w:r>
          </w:p>
        </w:tc>
        <w:tc>
          <w:tcPr>
            <w:tcW w:w="4961" w:type="dxa"/>
          </w:tcPr>
          <w:p w:rsidR="00D71176" w:rsidRPr="00292C31" w:rsidRDefault="00D71176">
            <w:pPr>
              <w:rPr>
                <w:rFonts w:cstheme="minorHAnsi"/>
                <w:color w:val="000000"/>
              </w:rPr>
            </w:pPr>
            <w:r w:rsidRPr="00D71176">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sidRPr="0066526F">
              <w:rPr>
                <w:rFonts w:cstheme="minorHAnsi"/>
                <w:color w:val="000000"/>
              </w:rPr>
              <w:t>1:1 Sessions</w:t>
            </w:r>
          </w:p>
          <w:p w:rsidR="0066526F" w:rsidRPr="00042890" w:rsidRDefault="0066526F" w:rsidP="0066526F">
            <w:pPr>
              <w:autoSpaceDE w:val="0"/>
              <w:autoSpaceDN w:val="0"/>
              <w:adjustRightInd w:val="0"/>
              <w:spacing w:after="0" w:line="240" w:lineRule="auto"/>
              <w:jc w:val="both"/>
              <w:rPr>
                <w:rFonts w:cstheme="minorHAnsi"/>
                <w:color w:val="000000"/>
              </w:rPr>
            </w:pP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sidRPr="0066526F">
              <w:rPr>
                <w:rFonts w:cstheme="minorHAnsi"/>
                <w:color w:val="000000"/>
              </w:rPr>
              <w:t>Personal belongings list</w:t>
            </w:r>
          </w:p>
          <w:p w:rsidR="0066526F" w:rsidRPr="0066526F" w:rsidRDefault="0066526F" w:rsidP="0066526F">
            <w:pPr>
              <w:autoSpaceDE w:val="0"/>
              <w:autoSpaceDN w:val="0"/>
              <w:adjustRightInd w:val="0"/>
              <w:spacing w:after="0" w:line="240" w:lineRule="auto"/>
              <w:jc w:val="both"/>
              <w:rPr>
                <w:rFonts w:cstheme="minorHAnsi"/>
                <w:color w:val="000000"/>
              </w:rPr>
            </w:pP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sidRPr="0066526F">
              <w:rPr>
                <w:rFonts w:cstheme="minorHAnsi"/>
                <w:color w:val="000000"/>
              </w:rPr>
              <w:t>Progress Report</w:t>
            </w:r>
          </w:p>
          <w:p w:rsidR="0066526F" w:rsidRPr="0066526F" w:rsidRDefault="0066526F" w:rsidP="0066526F">
            <w:pPr>
              <w:autoSpaceDE w:val="0"/>
              <w:autoSpaceDN w:val="0"/>
              <w:adjustRightInd w:val="0"/>
              <w:spacing w:after="0" w:line="240" w:lineRule="auto"/>
              <w:jc w:val="both"/>
              <w:rPr>
                <w:rFonts w:cstheme="minorHAnsi"/>
                <w:color w:val="000000"/>
              </w:rPr>
            </w:pP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Pr>
                <w:rFonts w:cstheme="minorHAnsi"/>
                <w:color w:val="000000"/>
              </w:rPr>
              <w:t xml:space="preserve">Details of </w:t>
            </w:r>
            <w:r w:rsidRPr="0066526F">
              <w:rPr>
                <w:rFonts w:cstheme="minorHAnsi"/>
                <w:color w:val="000000"/>
              </w:rPr>
              <w:t>Near Miss</w:t>
            </w:r>
            <w:r>
              <w:rPr>
                <w:rFonts w:cstheme="minorHAnsi"/>
                <w:color w:val="000000"/>
              </w:rPr>
              <w:t>es</w:t>
            </w: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bl>
    <w:p w:rsidR="00D136E4" w:rsidRPr="00292C31" w:rsidRDefault="00D136E4" w:rsidP="00AE6875">
      <w:pPr>
        <w:spacing w:after="0" w:line="240" w:lineRule="auto"/>
        <w:jc w:val="both"/>
        <w:rPr>
          <w:rFonts w:cstheme="minorHAnsi"/>
        </w:rPr>
      </w:pPr>
    </w:p>
    <w:p w:rsidR="003C1703" w:rsidRPr="00292C31" w:rsidRDefault="00DC0A48" w:rsidP="00B4250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AUTOMATED DECISION MAKING</w:t>
      </w:r>
    </w:p>
    <w:p w:rsidR="00D136E4" w:rsidRPr="00292C31" w:rsidRDefault="00344A81" w:rsidP="00AE6875">
      <w:pPr>
        <w:spacing w:after="0" w:line="240" w:lineRule="auto"/>
        <w:jc w:val="both"/>
        <w:rPr>
          <w:rFonts w:cstheme="minorHAnsi"/>
        </w:rPr>
      </w:pPr>
      <w:r w:rsidRPr="00292C31">
        <w:rPr>
          <w:rFonts w:cstheme="minorHAnsi"/>
        </w:rPr>
        <w:t xml:space="preserve">Automated decision making means making decision about you using no human involvement e.g. using computerised filtering equipment. </w:t>
      </w:r>
      <w:r w:rsidR="00D136E4" w:rsidRPr="00292C31">
        <w:rPr>
          <w:rFonts w:cstheme="minorHAnsi"/>
        </w:rPr>
        <w:t>No decision will be made about you solely on the basis of automated decision making (where a decision is taken about you using an electronic system without human involvement) which h</w:t>
      </w:r>
      <w:r w:rsidRPr="00292C31">
        <w:rPr>
          <w:rFonts w:cstheme="minorHAnsi"/>
        </w:rPr>
        <w:t>as a significant impact on you.</w:t>
      </w:r>
    </w:p>
    <w:p w:rsidR="00FC3B47" w:rsidRPr="00292C31" w:rsidRDefault="00FC3B47" w:rsidP="00AE6875">
      <w:pPr>
        <w:spacing w:after="0" w:line="240" w:lineRule="auto"/>
        <w:jc w:val="both"/>
        <w:rPr>
          <w:rFonts w:cstheme="minorHAnsi"/>
          <w:b/>
          <w:color w:val="FF0000"/>
        </w:rPr>
      </w:pPr>
    </w:p>
    <w:p w:rsidR="00FD5160" w:rsidRPr="00292C31" w:rsidRDefault="009E64FA" w:rsidP="00AE6875">
      <w:pPr>
        <w:pStyle w:val="BodyBoldRed"/>
        <w:numPr>
          <w:ilvl w:val="0"/>
          <w:numId w:val="2"/>
        </w:numPr>
        <w:ind w:left="426" w:hanging="426"/>
        <w:rPr>
          <w:rFonts w:asciiTheme="minorHAnsi" w:hAnsiTheme="minorHAnsi" w:cstheme="minorHAnsi"/>
          <w:sz w:val="22"/>
          <w:szCs w:val="22"/>
        </w:rPr>
      </w:pPr>
      <w:r>
        <w:rPr>
          <w:rFonts w:asciiTheme="minorHAnsi" w:hAnsiTheme="minorHAnsi" w:cstheme="minorHAnsi"/>
          <w:sz w:val="22"/>
          <w:szCs w:val="22"/>
        </w:rPr>
        <w:t xml:space="preserve">YOUNG </w:t>
      </w:r>
      <w:r w:rsidR="00213F18">
        <w:rPr>
          <w:rFonts w:asciiTheme="minorHAnsi" w:hAnsiTheme="minorHAnsi" w:cstheme="minorHAnsi"/>
          <w:sz w:val="22"/>
          <w:szCs w:val="22"/>
        </w:rPr>
        <w:t>ADULT’S</w:t>
      </w:r>
      <w:r w:rsidR="00DC0A48" w:rsidRPr="00292C31">
        <w:rPr>
          <w:rFonts w:asciiTheme="minorHAnsi" w:hAnsiTheme="minorHAnsi" w:cstheme="minorHAnsi"/>
          <w:sz w:val="22"/>
          <w:szCs w:val="22"/>
        </w:rPr>
        <w:t xml:space="preserve"> RIGHTS </w:t>
      </w:r>
    </w:p>
    <w:p w:rsidR="00FD5160" w:rsidRPr="00292C31" w:rsidRDefault="00FD5160" w:rsidP="00AE6875">
      <w:pPr>
        <w:spacing w:after="0" w:line="240" w:lineRule="auto"/>
        <w:jc w:val="both"/>
        <w:rPr>
          <w:rFonts w:cstheme="minorHAnsi"/>
        </w:rPr>
      </w:pPr>
      <w:r w:rsidRPr="00292C31">
        <w:rPr>
          <w:rFonts w:cstheme="minorHAnsi"/>
        </w:rPr>
        <w:t>You have the following rights in relation to the personal data we hold on you:</w:t>
      </w:r>
    </w:p>
    <w:p w:rsidR="00FC3B47" w:rsidRPr="00292C31" w:rsidRDefault="00FC3B47" w:rsidP="00AE6875">
      <w:pPr>
        <w:spacing w:after="0" w:line="240" w:lineRule="auto"/>
        <w:jc w:val="both"/>
        <w:rPr>
          <w:rFonts w:cstheme="minorHAnsi"/>
        </w:rPr>
      </w:pP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be informed about the data we hold on you and what we do with it;</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lastRenderedPageBreak/>
        <w:t>the right of access to the data we hold on you. More information on this can be found in the section headed “Access to Data” below and in our separate policy on Subject Access Requests”;</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for any inaccuracies in the data we hold on you, however they come to light, to be corrected. This is also known as ‘rectification’;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have data deleted in certain circumstances. This is also known as ‘erasure’;</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the right to restrict the processing of the data; </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transfer the data we hold on you to another party. This is also known as ‘portability’;</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object to the inclusion of any information;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regulate any automated decision-making and profiling of personal data.</w:t>
      </w:r>
    </w:p>
    <w:p w:rsidR="00FD5160" w:rsidRPr="00292C31" w:rsidRDefault="00FD5160" w:rsidP="00AE6875">
      <w:pPr>
        <w:spacing w:after="0" w:line="240" w:lineRule="auto"/>
        <w:jc w:val="both"/>
        <w:rPr>
          <w:rFonts w:cstheme="minorHAnsi"/>
        </w:rPr>
      </w:pPr>
    </w:p>
    <w:p w:rsidR="00FD5160" w:rsidRPr="00292C31" w:rsidRDefault="00FD5160" w:rsidP="00AE6875">
      <w:pPr>
        <w:spacing w:after="0" w:line="240" w:lineRule="auto"/>
        <w:jc w:val="both"/>
        <w:rPr>
          <w:rFonts w:cstheme="minorHAnsi"/>
        </w:rPr>
      </w:pPr>
      <w:r w:rsidRPr="00292C31">
        <w:rPr>
          <w:rFonts w:cstheme="minorHAnsi"/>
        </w:rPr>
        <w:t xml:space="preserve">More information can be found on each of these rights in our separate policy on </w:t>
      </w:r>
      <w:r w:rsidR="009E64FA">
        <w:rPr>
          <w:rFonts w:cstheme="minorHAnsi"/>
        </w:rPr>
        <w:t>your</w:t>
      </w:r>
      <w:r w:rsidRPr="00292C31">
        <w:rPr>
          <w:rFonts w:cstheme="minorHAnsi"/>
        </w:rPr>
        <w:t xml:space="preserve"> rights under GDPR.</w:t>
      </w:r>
    </w:p>
    <w:p w:rsidR="00FD5160" w:rsidRPr="00292C31" w:rsidRDefault="00FD5160" w:rsidP="00AE6875">
      <w:pPr>
        <w:spacing w:after="0" w:line="240" w:lineRule="auto"/>
        <w:jc w:val="both"/>
        <w:rPr>
          <w:rFonts w:cstheme="minorHAnsi"/>
          <w:color w:val="FF0000"/>
        </w:rPr>
      </w:pPr>
    </w:p>
    <w:p w:rsidR="00A937E8" w:rsidRPr="00292C31" w:rsidRDefault="00DC0A48" w:rsidP="00AE6875">
      <w:pPr>
        <w:pStyle w:val="BodyBoldRed"/>
        <w:numPr>
          <w:ilvl w:val="0"/>
          <w:numId w:val="2"/>
        </w:numPr>
        <w:ind w:left="426" w:hanging="426"/>
        <w:rPr>
          <w:rFonts w:asciiTheme="minorHAnsi" w:hAnsiTheme="minorHAnsi" w:cstheme="minorHAnsi"/>
          <w:color w:val="auto"/>
          <w:sz w:val="22"/>
          <w:szCs w:val="22"/>
        </w:rPr>
      </w:pPr>
      <w:r w:rsidRPr="00292C31">
        <w:rPr>
          <w:rFonts w:asciiTheme="minorHAnsi" w:hAnsiTheme="minorHAnsi" w:cstheme="minorHAnsi"/>
          <w:color w:val="auto"/>
          <w:sz w:val="22"/>
          <w:szCs w:val="22"/>
        </w:rPr>
        <w:t>CONSENT</w:t>
      </w:r>
    </w:p>
    <w:p w:rsidR="00D136E4" w:rsidRPr="00292C31" w:rsidRDefault="00D136E4" w:rsidP="00AE6875">
      <w:pPr>
        <w:spacing w:after="0" w:line="240" w:lineRule="auto"/>
        <w:jc w:val="both"/>
        <w:rPr>
          <w:rFonts w:cstheme="minorHAnsi"/>
        </w:rPr>
      </w:pPr>
      <w:r w:rsidRPr="00292C31">
        <w:rPr>
          <w:rFonts w:cstheme="minorHAnsi"/>
        </w:rPr>
        <w:t xml:space="preserve">Where you have provided consent to our use of your data, you also have the right to withdraw that consent at any time. </w:t>
      </w:r>
      <w:r w:rsidR="00344A81" w:rsidRPr="00292C31">
        <w:rPr>
          <w:rFonts w:cstheme="minorHAnsi"/>
        </w:rPr>
        <w:t xml:space="preserve">This means that we will stop </w:t>
      </w:r>
      <w:r w:rsidRPr="00292C31">
        <w:rPr>
          <w:rFonts w:cstheme="minorHAnsi"/>
        </w:rPr>
        <w:t xml:space="preserve">processing </w:t>
      </w:r>
      <w:r w:rsidR="00344A81" w:rsidRPr="00292C31">
        <w:rPr>
          <w:rFonts w:cstheme="minorHAnsi"/>
        </w:rPr>
        <w:t>your data</w:t>
      </w:r>
      <w:r w:rsidRPr="00292C31">
        <w:rPr>
          <w:rFonts w:cstheme="minorHAnsi"/>
        </w:rPr>
        <w:t xml:space="preserve">. </w:t>
      </w: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MAKING A COMPLAINT</w:t>
      </w:r>
    </w:p>
    <w:p w:rsidR="00D136E4" w:rsidRPr="00292C31" w:rsidRDefault="00344A81" w:rsidP="00AE6875">
      <w:pPr>
        <w:spacing w:after="0" w:line="240" w:lineRule="auto"/>
        <w:jc w:val="both"/>
        <w:rPr>
          <w:rFonts w:cstheme="minorHAnsi"/>
          <w:color w:val="000000"/>
          <w:lang w:val="en"/>
        </w:rPr>
      </w:pPr>
      <w:r w:rsidRPr="00292C31">
        <w:rPr>
          <w:rFonts w:cstheme="minorHAnsi"/>
        </w:rPr>
        <w:t xml:space="preserve">If you think your data rights have been breached, you are able to raise a complaint with the </w:t>
      </w:r>
      <w:r w:rsidR="00D136E4" w:rsidRPr="00292C31">
        <w:rPr>
          <w:rFonts w:cstheme="minorHAnsi"/>
        </w:rPr>
        <w:t xml:space="preserve">Information Commissioner (ICO). </w:t>
      </w:r>
      <w:r w:rsidRPr="00292C31">
        <w:rPr>
          <w:rFonts w:cstheme="minorHAnsi"/>
        </w:rPr>
        <w:t xml:space="preserve">You can contact the ICO at </w:t>
      </w:r>
      <w:r w:rsidR="00F43374" w:rsidRPr="00292C31">
        <w:rPr>
          <w:rFonts w:cstheme="minorHAnsi"/>
          <w:color w:val="000000"/>
          <w:lang w:val="en"/>
        </w:rPr>
        <w:t xml:space="preserve">Information Commissioner's Office, Wycliffe House, Water Lane, </w:t>
      </w:r>
      <w:proofErr w:type="spellStart"/>
      <w:r w:rsidR="00F43374" w:rsidRPr="00292C31">
        <w:rPr>
          <w:rFonts w:cstheme="minorHAnsi"/>
          <w:color w:val="000000"/>
          <w:lang w:val="en"/>
        </w:rPr>
        <w:t>Wilmslow</w:t>
      </w:r>
      <w:proofErr w:type="spellEnd"/>
      <w:r w:rsidR="00F43374" w:rsidRPr="00292C31">
        <w:rPr>
          <w:rFonts w:cstheme="minorHAnsi"/>
          <w:color w:val="000000"/>
          <w:lang w:val="en"/>
        </w:rPr>
        <w:t>, Cheshire SK9 5AF or by telephone on 0303 123 1113 (local rate) or 01625 545 745.</w:t>
      </w:r>
    </w:p>
    <w:p w:rsidR="00FC3B47" w:rsidRPr="00292C31" w:rsidRDefault="00FC3B47" w:rsidP="00AE6875">
      <w:pPr>
        <w:spacing w:after="0" w:line="240" w:lineRule="auto"/>
        <w:jc w:val="both"/>
        <w:rPr>
          <w:rFonts w:cstheme="minorHAnsi"/>
        </w:rPr>
      </w:pPr>
    </w:p>
    <w:p w:rsidR="00E85D45"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COMPLIANCE</w:t>
      </w:r>
    </w:p>
    <w:p w:rsidR="003C1703" w:rsidRPr="00292C31" w:rsidRDefault="003C1703" w:rsidP="00AE6875">
      <w:pPr>
        <w:spacing w:after="0" w:line="240" w:lineRule="auto"/>
        <w:jc w:val="both"/>
        <w:rPr>
          <w:rFonts w:cstheme="minorHAnsi"/>
        </w:rPr>
      </w:pPr>
    </w:p>
    <w:p w:rsidR="00C97E8F" w:rsidRPr="00C97E8F" w:rsidRDefault="00C97E8F" w:rsidP="00C97E8F">
      <w:pPr>
        <w:spacing w:after="0" w:line="240" w:lineRule="auto"/>
        <w:jc w:val="both"/>
        <w:rPr>
          <w:rFonts w:cstheme="minorHAnsi"/>
        </w:rPr>
      </w:pPr>
      <w:r w:rsidRPr="00C97E8F">
        <w:rPr>
          <w:rFonts w:cstheme="minorHAnsi"/>
        </w:rPr>
        <w:t>Our appointed compliance officer in respect of our data protection activities is:</w:t>
      </w:r>
    </w:p>
    <w:p w:rsidR="00C97E8F" w:rsidRPr="00C97E8F" w:rsidRDefault="00C97E8F" w:rsidP="00C97E8F">
      <w:pPr>
        <w:spacing w:after="0" w:line="240" w:lineRule="auto"/>
        <w:jc w:val="both"/>
        <w:rPr>
          <w:rFonts w:cstheme="minorHAnsi"/>
        </w:rPr>
      </w:pPr>
    </w:p>
    <w:p w:rsidR="00C97E8F" w:rsidRPr="00C97E8F" w:rsidRDefault="00C97E8F" w:rsidP="00C97E8F">
      <w:pPr>
        <w:spacing w:after="0" w:line="240" w:lineRule="auto"/>
        <w:jc w:val="both"/>
        <w:rPr>
          <w:rFonts w:cstheme="minorHAnsi"/>
          <w:b/>
          <w:lang w:val="it-IT"/>
        </w:rPr>
      </w:pPr>
      <w:r w:rsidRPr="00C97E8F">
        <w:rPr>
          <w:rFonts w:cstheme="minorHAnsi"/>
          <w:b/>
          <w:lang w:val="it-IT"/>
        </w:rPr>
        <w:t>Vanessa Griffin</w:t>
      </w:r>
    </w:p>
    <w:p w:rsidR="00D136E4" w:rsidRDefault="00967440" w:rsidP="00AE6875">
      <w:pPr>
        <w:jc w:val="both"/>
        <w:rPr>
          <w:rFonts w:cstheme="minorHAnsi"/>
          <w:lang w:val="it-IT"/>
        </w:rPr>
      </w:pPr>
      <w:hyperlink r:id="rId9" w:history="1">
        <w:r w:rsidR="00C97E8F" w:rsidRPr="00C97E8F">
          <w:rPr>
            <w:rStyle w:val="Hyperlink"/>
            <w:rFonts w:cstheme="minorHAnsi"/>
            <w:lang w:val="it-IT"/>
          </w:rPr>
          <w:t>VGriffin@progresscare.co.uk</w:t>
        </w:r>
      </w:hyperlink>
      <w:r w:rsidR="00C97E8F" w:rsidRPr="00C97E8F">
        <w:rPr>
          <w:rFonts w:cstheme="minorHAnsi"/>
          <w:lang w:val="it-IT"/>
        </w:rPr>
        <w:t xml:space="preserve">  </w:t>
      </w:r>
    </w:p>
    <w:p w:rsidR="003623E8" w:rsidRDefault="003623E8" w:rsidP="00AE6875">
      <w:pPr>
        <w:jc w:val="both"/>
        <w:rPr>
          <w:rFonts w:cstheme="minorHAnsi"/>
          <w:lang w:val="it-IT"/>
        </w:rPr>
      </w:pPr>
    </w:p>
    <w:p w:rsidR="003623E8" w:rsidRDefault="003623E8" w:rsidP="003623E8">
      <w:pPr>
        <w:pStyle w:val="BodyBoldRed"/>
        <w:numPr>
          <w:ilvl w:val="0"/>
          <w:numId w:val="2"/>
        </w:numPr>
        <w:spacing w:after="0"/>
        <w:ind w:left="426" w:hanging="426"/>
        <w:rPr>
          <w:rFonts w:cstheme="minorHAnsi"/>
        </w:rPr>
      </w:pPr>
      <w:r>
        <w:rPr>
          <w:rFonts w:asciiTheme="minorHAnsi" w:hAnsiTheme="minorHAnsi" w:cstheme="minorHAnsi"/>
        </w:rPr>
        <w:t>SUBJECT ACCESS REQUEST</w:t>
      </w:r>
    </w:p>
    <w:p w:rsidR="003623E8" w:rsidRDefault="003623E8" w:rsidP="003623E8">
      <w:pPr>
        <w:pStyle w:val="BodyBoldRed"/>
        <w:spacing w:after="0"/>
        <w:rPr>
          <w:rFonts w:asciiTheme="minorHAnsi" w:hAnsiTheme="minorHAnsi" w:cstheme="minorHAnsi"/>
        </w:rPr>
      </w:pPr>
    </w:p>
    <w:p w:rsidR="003623E8" w:rsidRDefault="003623E8" w:rsidP="003623E8">
      <w:pPr>
        <w:pStyle w:val="BodyBoldRed"/>
        <w:spacing w:after="0"/>
        <w:rPr>
          <w:rFonts w:cstheme="minorHAnsi"/>
          <w:b w:val="0"/>
        </w:rPr>
      </w:pPr>
      <w:r>
        <w:rPr>
          <w:rFonts w:asciiTheme="minorHAnsi" w:hAnsiTheme="minorHAnsi" w:cstheme="minorHAnsi"/>
          <w:b w:val="0"/>
        </w:rPr>
        <w:t xml:space="preserve">To make a Subject Access Request (SAR) you should contact Vanessa Griffin on </w:t>
      </w:r>
      <w:hyperlink r:id="rId10" w:history="1">
        <w:r>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3623E8" w:rsidRDefault="003623E8" w:rsidP="003623E8">
      <w:pPr>
        <w:jc w:val="both"/>
        <w:rPr>
          <w:rFonts w:ascii="Arial" w:hAnsi="Arial" w:cs="Arial"/>
        </w:rPr>
      </w:pPr>
    </w:p>
    <w:p w:rsidR="00847D96" w:rsidRDefault="00847D96" w:rsidP="003623E8">
      <w:pPr>
        <w:jc w:val="both"/>
        <w:rPr>
          <w:rFonts w:ascii="Arial" w:hAnsi="Arial" w:cs="Arial"/>
        </w:rPr>
      </w:pPr>
    </w:p>
    <w:p w:rsidR="003623E8" w:rsidRDefault="003623E8" w:rsidP="00AE6875">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847D96" w:rsidTr="002B3DDB">
        <w:tc>
          <w:tcPr>
            <w:tcW w:w="988" w:type="dxa"/>
          </w:tcPr>
          <w:p w:rsidR="00847D96" w:rsidRDefault="00847D96" w:rsidP="002B3DDB">
            <w:pPr>
              <w:tabs>
                <w:tab w:val="left" w:pos="2242"/>
              </w:tabs>
              <w:rPr>
                <w:rFonts w:cstheme="minorHAnsi"/>
              </w:rPr>
            </w:pPr>
            <w:r>
              <w:rPr>
                <w:rFonts w:cstheme="minorHAnsi"/>
              </w:rPr>
              <w:t xml:space="preserve">Version </w:t>
            </w:r>
          </w:p>
        </w:tc>
        <w:tc>
          <w:tcPr>
            <w:tcW w:w="2618" w:type="dxa"/>
          </w:tcPr>
          <w:p w:rsidR="00847D96" w:rsidRDefault="00847D96" w:rsidP="002B3DDB">
            <w:pPr>
              <w:tabs>
                <w:tab w:val="left" w:pos="2242"/>
              </w:tabs>
              <w:rPr>
                <w:rFonts w:cstheme="minorHAnsi"/>
              </w:rPr>
            </w:pPr>
            <w:r>
              <w:rPr>
                <w:rFonts w:cstheme="minorHAnsi"/>
              </w:rPr>
              <w:t xml:space="preserve">Date </w:t>
            </w:r>
          </w:p>
        </w:tc>
        <w:tc>
          <w:tcPr>
            <w:tcW w:w="1803" w:type="dxa"/>
          </w:tcPr>
          <w:p w:rsidR="00847D96" w:rsidRDefault="00847D96" w:rsidP="002B3DDB">
            <w:pPr>
              <w:tabs>
                <w:tab w:val="left" w:pos="2242"/>
              </w:tabs>
              <w:rPr>
                <w:rFonts w:cstheme="minorHAnsi"/>
              </w:rPr>
            </w:pPr>
            <w:r>
              <w:rPr>
                <w:rFonts w:cstheme="minorHAnsi"/>
              </w:rPr>
              <w:t xml:space="preserve">Changes </w:t>
            </w:r>
          </w:p>
        </w:tc>
        <w:tc>
          <w:tcPr>
            <w:tcW w:w="1803" w:type="dxa"/>
          </w:tcPr>
          <w:p w:rsidR="00847D96" w:rsidRDefault="00847D96" w:rsidP="002B3DDB">
            <w:pPr>
              <w:tabs>
                <w:tab w:val="left" w:pos="2242"/>
              </w:tabs>
              <w:rPr>
                <w:rFonts w:cstheme="minorHAnsi"/>
              </w:rPr>
            </w:pPr>
            <w:r>
              <w:rPr>
                <w:rFonts w:cstheme="minorHAnsi"/>
              </w:rPr>
              <w:t xml:space="preserve">By whom </w:t>
            </w:r>
          </w:p>
        </w:tc>
        <w:tc>
          <w:tcPr>
            <w:tcW w:w="1804" w:type="dxa"/>
          </w:tcPr>
          <w:p w:rsidR="00847D96" w:rsidRDefault="00847D96" w:rsidP="002B3DDB">
            <w:pPr>
              <w:tabs>
                <w:tab w:val="left" w:pos="2242"/>
              </w:tabs>
              <w:rPr>
                <w:rFonts w:cstheme="minorHAnsi"/>
              </w:rPr>
            </w:pPr>
            <w:r>
              <w:rPr>
                <w:rFonts w:cstheme="minorHAnsi"/>
              </w:rPr>
              <w:t xml:space="preserve">Review </w:t>
            </w:r>
          </w:p>
        </w:tc>
      </w:tr>
      <w:tr w:rsidR="00847D96" w:rsidTr="002B3DDB">
        <w:tc>
          <w:tcPr>
            <w:tcW w:w="988" w:type="dxa"/>
          </w:tcPr>
          <w:p w:rsidR="00847D96" w:rsidRDefault="00847D96" w:rsidP="002B3DDB">
            <w:pPr>
              <w:tabs>
                <w:tab w:val="left" w:pos="2242"/>
              </w:tabs>
              <w:rPr>
                <w:rFonts w:cstheme="minorHAnsi"/>
              </w:rPr>
            </w:pPr>
          </w:p>
        </w:tc>
        <w:tc>
          <w:tcPr>
            <w:tcW w:w="2618" w:type="dxa"/>
          </w:tcPr>
          <w:p w:rsidR="00847D96" w:rsidRDefault="00847D96" w:rsidP="002B3DDB">
            <w:pPr>
              <w:tabs>
                <w:tab w:val="left" w:pos="2242"/>
              </w:tabs>
              <w:rPr>
                <w:rFonts w:cstheme="minorHAnsi"/>
              </w:rPr>
            </w:pPr>
            <w:r>
              <w:rPr>
                <w:rFonts w:cstheme="minorHAnsi"/>
              </w:rPr>
              <w:t>Last review April 2018</w:t>
            </w:r>
          </w:p>
        </w:tc>
        <w:tc>
          <w:tcPr>
            <w:tcW w:w="1803"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r>
              <w:rPr>
                <w:rFonts w:cstheme="minorHAnsi"/>
              </w:rPr>
              <w:t>Emma Ruffinato</w:t>
            </w:r>
          </w:p>
        </w:tc>
        <w:tc>
          <w:tcPr>
            <w:tcW w:w="1804" w:type="dxa"/>
          </w:tcPr>
          <w:p w:rsidR="00847D96" w:rsidRDefault="00847D96" w:rsidP="002B3DDB">
            <w:pPr>
              <w:tabs>
                <w:tab w:val="left" w:pos="2242"/>
              </w:tabs>
              <w:rPr>
                <w:rFonts w:cstheme="minorHAnsi"/>
              </w:rPr>
            </w:pPr>
          </w:p>
        </w:tc>
      </w:tr>
      <w:tr w:rsidR="00847D96" w:rsidTr="002B3DDB">
        <w:tc>
          <w:tcPr>
            <w:tcW w:w="988" w:type="dxa"/>
          </w:tcPr>
          <w:p w:rsidR="00847D96" w:rsidRDefault="00847D96" w:rsidP="002B3DDB">
            <w:pPr>
              <w:tabs>
                <w:tab w:val="left" w:pos="2242"/>
              </w:tabs>
              <w:rPr>
                <w:rFonts w:cstheme="minorHAnsi"/>
              </w:rPr>
            </w:pPr>
          </w:p>
        </w:tc>
        <w:tc>
          <w:tcPr>
            <w:tcW w:w="2618"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p>
        </w:tc>
        <w:tc>
          <w:tcPr>
            <w:tcW w:w="1804" w:type="dxa"/>
          </w:tcPr>
          <w:p w:rsidR="00847D96" w:rsidRDefault="00847D96" w:rsidP="002B3DDB">
            <w:pPr>
              <w:tabs>
                <w:tab w:val="left" w:pos="2242"/>
              </w:tabs>
              <w:rPr>
                <w:rFonts w:cstheme="minorHAnsi"/>
              </w:rPr>
            </w:pPr>
          </w:p>
        </w:tc>
      </w:tr>
      <w:tr w:rsidR="00847D96" w:rsidTr="002B3DDB">
        <w:tc>
          <w:tcPr>
            <w:tcW w:w="988" w:type="dxa"/>
          </w:tcPr>
          <w:p w:rsidR="00847D96" w:rsidRDefault="00847D96" w:rsidP="002B3DDB">
            <w:pPr>
              <w:tabs>
                <w:tab w:val="left" w:pos="2242"/>
              </w:tabs>
              <w:rPr>
                <w:rFonts w:cstheme="minorHAnsi"/>
              </w:rPr>
            </w:pPr>
          </w:p>
        </w:tc>
        <w:tc>
          <w:tcPr>
            <w:tcW w:w="2618"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p>
        </w:tc>
        <w:tc>
          <w:tcPr>
            <w:tcW w:w="1804" w:type="dxa"/>
          </w:tcPr>
          <w:p w:rsidR="00847D96" w:rsidRDefault="00847D96" w:rsidP="002B3DDB">
            <w:pPr>
              <w:tabs>
                <w:tab w:val="left" w:pos="2242"/>
              </w:tabs>
              <w:rPr>
                <w:rFonts w:cstheme="minorHAnsi"/>
              </w:rPr>
            </w:pPr>
          </w:p>
        </w:tc>
      </w:tr>
      <w:tr w:rsidR="00847D96" w:rsidTr="002B3DDB">
        <w:tc>
          <w:tcPr>
            <w:tcW w:w="988" w:type="dxa"/>
          </w:tcPr>
          <w:p w:rsidR="00847D96" w:rsidRDefault="00847D96" w:rsidP="002B3DDB">
            <w:pPr>
              <w:tabs>
                <w:tab w:val="left" w:pos="2242"/>
              </w:tabs>
              <w:rPr>
                <w:rFonts w:cstheme="minorHAnsi"/>
              </w:rPr>
            </w:pPr>
          </w:p>
        </w:tc>
        <w:tc>
          <w:tcPr>
            <w:tcW w:w="2618"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p>
        </w:tc>
        <w:tc>
          <w:tcPr>
            <w:tcW w:w="1803" w:type="dxa"/>
          </w:tcPr>
          <w:p w:rsidR="00847D96" w:rsidRDefault="00847D96" w:rsidP="002B3DDB">
            <w:pPr>
              <w:tabs>
                <w:tab w:val="left" w:pos="2242"/>
              </w:tabs>
              <w:rPr>
                <w:rFonts w:cstheme="minorHAnsi"/>
              </w:rPr>
            </w:pPr>
          </w:p>
        </w:tc>
        <w:tc>
          <w:tcPr>
            <w:tcW w:w="1804" w:type="dxa"/>
          </w:tcPr>
          <w:p w:rsidR="00847D96" w:rsidRDefault="00847D96" w:rsidP="002B3DDB">
            <w:pPr>
              <w:tabs>
                <w:tab w:val="left" w:pos="2242"/>
              </w:tabs>
              <w:rPr>
                <w:rFonts w:cstheme="minorHAnsi"/>
              </w:rPr>
            </w:pPr>
          </w:p>
        </w:tc>
      </w:tr>
    </w:tbl>
    <w:p w:rsidR="00847D96" w:rsidRPr="00847D96" w:rsidRDefault="00847D96" w:rsidP="00AE6875">
      <w:pPr>
        <w:jc w:val="both"/>
        <w:rPr>
          <w:rFonts w:ascii="Arial" w:hAnsi="Arial" w:cs="Arial"/>
        </w:rPr>
      </w:pPr>
    </w:p>
    <w:sectPr w:rsidR="00847D96" w:rsidRPr="00847D96" w:rsidSect="00B05E3B">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CD8" w:rsidRDefault="00A17CD8" w:rsidP="00BA2A3B">
      <w:pPr>
        <w:spacing w:after="0" w:line="240" w:lineRule="auto"/>
      </w:pPr>
      <w:r>
        <w:separator/>
      </w:r>
    </w:p>
  </w:endnote>
  <w:endnote w:type="continuationSeparator" w:id="0">
    <w:p w:rsidR="00A17CD8" w:rsidRDefault="00A17CD8"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012940"/>
      <w:docPartObj>
        <w:docPartGallery w:val="Page Numbers (Bottom of Page)"/>
        <w:docPartUnique/>
      </w:docPartObj>
    </w:sdtPr>
    <w:sdtContent>
      <w:sdt>
        <w:sdtPr>
          <w:id w:val="-1705238520"/>
          <w:docPartObj>
            <w:docPartGallery w:val="Page Numbers (Top of Page)"/>
            <w:docPartUnique/>
          </w:docPartObj>
        </w:sdtPr>
        <w:sdtContent>
          <w:p w:rsidR="00847D96" w:rsidRDefault="00847D96">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847D96" w:rsidRPr="00847D96" w:rsidRDefault="00847D96" w:rsidP="00847D96">
            <w:pPr>
              <w:tabs>
                <w:tab w:val="left" w:pos="2242"/>
              </w:tabs>
              <w:rPr>
                <w:rFonts w:cstheme="minorHAnsi"/>
              </w:rPr>
            </w:pPr>
            <w:bookmarkStart w:id="1" w:name="_Hlk515004613"/>
            <w:r w:rsidRPr="00847D96">
              <w:t xml:space="preserve">Care, Trust, Respect and Progress </w:t>
            </w:r>
            <w:r w:rsidRPr="00847D96">
              <w:tab/>
            </w:r>
            <w:r w:rsidRPr="00847D96">
              <w:tab/>
            </w:r>
            <w:r w:rsidRPr="00847D96">
              <w:tab/>
            </w:r>
            <w:r w:rsidRPr="00847D96">
              <w:tab/>
            </w:r>
            <w:r>
              <w:t xml:space="preserve">         </w:t>
            </w:r>
            <w:r w:rsidRPr="00847D96">
              <w:rPr>
                <w:rFonts w:cstheme="minorHAnsi"/>
              </w:rPr>
              <w:t xml:space="preserve">Privacy Notice for </w:t>
            </w:r>
            <w:r>
              <w:rPr>
                <w:rFonts w:cstheme="minorHAnsi"/>
              </w:rPr>
              <w:t xml:space="preserve">Young Adults </w:t>
            </w:r>
            <w:r w:rsidRPr="00847D96">
              <w:rPr>
                <w:rFonts w:cstheme="minorHAnsi"/>
              </w:rPr>
              <w:t xml:space="preserve"> </w:t>
            </w:r>
            <w:hyperlink r:id="rId1" w:history="1">
              <w:r w:rsidRPr="00847D96">
                <w:rPr>
                  <w:color w:val="0563C1"/>
                  <w:u w:val="single"/>
                </w:rPr>
                <w:t>www.progresscaresolutions.com</w:t>
              </w:r>
            </w:hyperlink>
            <w:r w:rsidRPr="00847D96">
              <w:t xml:space="preserve">  </w:t>
            </w:r>
            <w:r w:rsidRPr="00847D96">
              <w:tab/>
            </w:r>
            <w:r w:rsidRPr="00847D96">
              <w:tab/>
            </w:r>
            <w:r w:rsidRPr="00847D96">
              <w:tab/>
            </w:r>
            <w:r w:rsidRPr="00847D96">
              <w:tab/>
            </w:r>
            <w:bookmarkEnd w:id="1"/>
            <w:r>
              <w:t xml:space="preserve">                     </w:t>
            </w:r>
            <w:r>
              <w:rPr>
                <w:rFonts w:cstheme="minorHAnsi"/>
              </w:rPr>
              <w:t>who assess Hub Services</w:t>
            </w:r>
          </w:p>
        </w:sdtContent>
      </w:sdt>
    </w:sdtContent>
  </w:sdt>
  <w:p w:rsidR="00BA2A3B" w:rsidRDefault="00BA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CD8" w:rsidRDefault="00A17CD8" w:rsidP="00BA2A3B">
      <w:pPr>
        <w:spacing w:after="0" w:line="240" w:lineRule="auto"/>
      </w:pPr>
      <w:r>
        <w:separator/>
      </w:r>
    </w:p>
  </w:footnote>
  <w:footnote w:type="continuationSeparator" w:id="0">
    <w:p w:rsidR="00A17CD8" w:rsidRDefault="00A17CD8"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2B40"/>
    <w:multiLevelType w:val="hybridMultilevel"/>
    <w:tmpl w:val="A692C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560B4"/>
    <w:multiLevelType w:val="hybridMultilevel"/>
    <w:tmpl w:val="079AF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941C2"/>
    <w:multiLevelType w:val="hybridMultilevel"/>
    <w:tmpl w:val="FE2A3440"/>
    <w:lvl w:ilvl="0" w:tplc="73166BC6">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660C0"/>
    <w:multiLevelType w:val="hybridMultilevel"/>
    <w:tmpl w:val="38846E28"/>
    <w:lvl w:ilvl="0" w:tplc="A870557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FF93ADC"/>
    <w:multiLevelType w:val="hybridMultilevel"/>
    <w:tmpl w:val="8894133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22AB6"/>
    <w:multiLevelType w:val="hybridMultilevel"/>
    <w:tmpl w:val="80E682F0"/>
    <w:lvl w:ilvl="0" w:tplc="E4788B0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FFA403B"/>
    <w:multiLevelType w:val="hybridMultilevel"/>
    <w:tmpl w:val="A70C0030"/>
    <w:lvl w:ilvl="0" w:tplc="A870557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D0B40"/>
    <w:multiLevelType w:val="hybridMultilevel"/>
    <w:tmpl w:val="0470A2B4"/>
    <w:lvl w:ilvl="0" w:tplc="6D34E9EE">
      <w:numFmt w:val="bullet"/>
      <w:lvlText w:val="-"/>
      <w:lvlJc w:val="left"/>
      <w:pPr>
        <w:ind w:left="1069" w:hanging="360"/>
      </w:pPr>
      <w:rPr>
        <w:rFonts w:ascii="Garamond" w:eastAsiaTheme="minorHAnsi" w:hAnsi="Garamond"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E68B5"/>
    <w:multiLevelType w:val="hybridMultilevel"/>
    <w:tmpl w:val="50F06A6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6B20F8E"/>
    <w:multiLevelType w:val="hybridMultilevel"/>
    <w:tmpl w:val="079AF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18"/>
  </w:num>
  <w:num w:numId="4">
    <w:abstractNumId w:val="15"/>
  </w:num>
  <w:num w:numId="5">
    <w:abstractNumId w:val="9"/>
  </w:num>
  <w:num w:numId="6">
    <w:abstractNumId w:val="10"/>
  </w:num>
  <w:num w:numId="7">
    <w:abstractNumId w:val="2"/>
  </w:num>
  <w:num w:numId="8">
    <w:abstractNumId w:val="5"/>
  </w:num>
  <w:num w:numId="9">
    <w:abstractNumId w:val="1"/>
  </w:num>
  <w:num w:numId="10">
    <w:abstractNumId w:val="6"/>
  </w:num>
  <w:num w:numId="11">
    <w:abstractNumId w:val="3"/>
  </w:num>
  <w:num w:numId="12">
    <w:abstractNumId w:val="14"/>
  </w:num>
  <w:num w:numId="13">
    <w:abstractNumId w:val="12"/>
  </w:num>
  <w:num w:numId="14">
    <w:abstractNumId w:val="16"/>
  </w:num>
  <w:num w:numId="15">
    <w:abstractNumId w:val="11"/>
  </w:num>
  <w:num w:numId="16">
    <w:abstractNumId w:val="13"/>
  </w:num>
  <w:num w:numId="17">
    <w:abstractNumId w:val="0"/>
  </w:num>
  <w:num w:numId="18">
    <w:abstractNumId w:val="17"/>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42890"/>
    <w:rsid w:val="0006108F"/>
    <w:rsid w:val="0007631C"/>
    <w:rsid w:val="00085CCF"/>
    <w:rsid w:val="00087FD2"/>
    <w:rsid w:val="000C7ECD"/>
    <w:rsid w:val="000D5408"/>
    <w:rsid w:val="000D5F2B"/>
    <w:rsid w:val="001061D8"/>
    <w:rsid w:val="0011425A"/>
    <w:rsid w:val="00140EB5"/>
    <w:rsid w:val="0015249E"/>
    <w:rsid w:val="001602C1"/>
    <w:rsid w:val="00167C9F"/>
    <w:rsid w:val="001C61FE"/>
    <w:rsid w:val="001D4549"/>
    <w:rsid w:val="001F1DF8"/>
    <w:rsid w:val="001F4F08"/>
    <w:rsid w:val="001F70AF"/>
    <w:rsid w:val="00213F18"/>
    <w:rsid w:val="0029162C"/>
    <w:rsid w:val="00292193"/>
    <w:rsid w:val="00292C31"/>
    <w:rsid w:val="00292FC0"/>
    <w:rsid w:val="002D65CC"/>
    <w:rsid w:val="00342245"/>
    <w:rsid w:val="00344A81"/>
    <w:rsid w:val="003623E8"/>
    <w:rsid w:val="0036456B"/>
    <w:rsid w:val="00365AB9"/>
    <w:rsid w:val="003942AE"/>
    <w:rsid w:val="00396057"/>
    <w:rsid w:val="003A0C52"/>
    <w:rsid w:val="003B7DD7"/>
    <w:rsid w:val="003C1703"/>
    <w:rsid w:val="003D2BF9"/>
    <w:rsid w:val="003D4BB9"/>
    <w:rsid w:val="0042586D"/>
    <w:rsid w:val="004502E4"/>
    <w:rsid w:val="004B67E2"/>
    <w:rsid w:val="004C520D"/>
    <w:rsid w:val="004E2D23"/>
    <w:rsid w:val="00561B3F"/>
    <w:rsid w:val="00593DDB"/>
    <w:rsid w:val="005A5E0D"/>
    <w:rsid w:val="005C5A9F"/>
    <w:rsid w:val="00603B56"/>
    <w:rsid w:val="00641FC9"/>
    <w:rsid w:val="006449E5"/>
    <w:rsid w:val="0066526F"/>
    <w:rsid w:val="006731FD"/>
    <w:rsid w:val="0068439D"/>
    <w:rsid w:val="00736291"/>
    <w:rsid w:val="00736745"/>
    <w:rsid w:val="00741EA1"/>
    <w:rsid w:val="0079426D"/>
    <w:rsid w:val="0083140E"/>
    <w:rsid w:val="00847D96"/>
    <w:rsid w:val="00870A35"/>
    <w:rsid w:val="008736C2"/>
    <w:rsid w:val="008C6DC3"/>
    <w:rsid w:val="008D4BCC"/>
    <w:rsid w:val="00967440"/>
    <w:rsid w:val="009D04F2"/>
    <w:rsid w:val="009E64FA"/>
    <w:rsid w:val="00A171B8"/>
    <w:rsid w:val="00A17CD8"/>
    <w:rsid w:val="00A31968"/>
    <w:rsid w:val="00A937E8"/>
    <w:rsid w:val="00AB5775"/>
    <w:rsid w:val="00AE5657"/>
    <w:rsid w:val="00AE6875"/>
    <w:rsid w:val="00B05E3B"/>
    <w:rsid w:val="00B27785"/>
    <w:rsid w:val="00B42505"/>
    <w:rsid w:val="00B544F1"/>
    <w:rsid w:val="00B859EB"/>
    <w:rsid w:val="00BA2A3B"/>
    <w:rsid w:val="00BA521D"/>
    <w:rsid w:val="00BB75F7"/>
    <w:rsid w:val="00C00241"/>
    <w:rsid w:val="00C85ABB"/>
    <w:rsid w:val="00C878B9"/>
    <w:rsid w:val="00C91B0E"/>
    <w:rsid w:val="00C97E8F"/>
    <w:rsid w:val="00CA78AC"/>
    <w:rsid w:val="00D11190"/>
    <w:rsid w:val="00D136E4"/>
    <w:rsid w:val="00D71176"/>
    <w:rsid w:val="00D91C27"/>
    <w:rsid w:val="00D940B2"/>
    <w:rsid w:val="00DC0A48"/>
    <w:rsid w:val="00DF3A20"/>
    <w:rsid w:val="00E0728C"/>
    <w:rsid w:val="00E31392"/>
    <w:rsid w:val="00E328F7"/>
    <w:rsid w:val="00E72328"/>
    <w:rsid w:val="00E7398C"/>
    <w:rsid w:val="00E85D45"/>
    <w:rsid w:val="00EA4F7A"/>
    <w:rsid w:val="00ED4663"/>
    <w:rsid w:val="00F157C6"/>
    <w:rsid w:val="00F21493"/>
    <w:rsid w:val="00F33C12"/>
    <w:rsid w:val="00F43374"/>
    <w:rsid w:val="00F43949"/>
    <w:rsid w:val="00FB0B37"/>
    <w:rsid w:val="00FB10E9"/>
    <w:rsid w:val="00FB2022"/>
    <w:rsid w:val="00FB4F7A"/>
    <w:rsid w:val="00FC3B47"/>
    <w:rsid w:val="00FD2D08"/>
    <w:rsid w:val="00FD5160"/>
    <w:rsid w:val="00FE2819"/>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ED7D"/>
  <w15:docId w15:val="{17653882-70D7-4BB3-9939-9E356401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CommentReference">
    <w:name w:val="annotation reference"/>
    <w:basedOn w:val="DefaultParagraphFont"/>
    <w:uiPriority w:val="99"/>
    <w:semiHidden/>
    <w:unhideWhenUsed/>
    <w:rsid w:val="00C97E8F"/>
    <w:rPr>
      <w:sz w:val="16"/>
      <w:szCs w:val="16"/>
    </w:rPr>
  </w:style>
  <w:style w:type="paragraph" w:styleId="CommentText">
    <w:name w:val="annotation text"/>
    <w:basedOn w:val="Normal"/>
    <w:link w:val="CommentTextChar"/>
    <w:uiPriority w:val="99"/>
    <w:semiHidden/>
    <w:unhideWhenUsed/>
    <w:rsid w:val="00C97E8F"/>
    <w:pPr>
      <w:spacing w:line="240" w:lineRule="auto"/>
    </w:pPr>
    <w:rPr>
      <w:sz w:val="20"/>
      <w:szCs w:val="20"/>
    </w:rPr>
  </w:style>
  <w:style w:type="character" w:customStyle="1" w:styleId="CommentTextChar">
    <w:name w:val="Comment Text Char"/>
    <w:basedOn w:val="DefaultParagraphFont"/>
    <w:link w:val="CommentText"/>
    <w:uiPriority w:val="99"/>
    <w:semiHidden/>
    <w:rsid w:val="00C97E8F"/>
    <w:rPr>
      <w:sz w:val="20"/>
      <w:szCs w:val="20"/>
    </w:rPr>
  </w:style>
  <w:style w:type="paragraph" w:styleId="CommentSubject">
    <w:name w:val="annotation subject"/>
    <w:basedOn w:val="CommentText"/>
    <w:next w:val="CommentText"/>
    <w:link w:val="CommentSubjectChar"/>
    <w:uiPriority w:val="99"/>
    <w:semiHidden/>
    <w:unhideWhenUsed/>
    <w:rsid w:val="00C97E8F"/>
    <w:rPr>
      <w:b/>
      <w:bCs/>
    </w:rPr>
  </w:style>
  <w:style w:type="character" w:customStyle="1" w:styleId="CommentSubjectChar">
    <w:name w:val="Comment Subject Char"/>
    <w:basedOn w:val="CommentTextChar"/>
    <w:link w:val="CommentSubject"/>
    <w:uiPriority w:val="99"/>
    <w:semiHidden/>
    <w:rsid w:val="00C97E8F"/>
    <w:rPr>
      <w:b/>
      <w:bCs/>
      <w:sz w:val="20"/>
      <w:szCs w:val="20"/>
    </w:rPr>
  </w:style>
  <w:style w:type="paragraph" w:styleId="BalloonText">
    <w:name w:val="Balloon Text"/>
    <w:basedOn w:val="Normal"/>
    <w:link w:val="BalloonTextChar"/>
    <w:uiPriority w:val="99"/>
    <w:semiHidden/>
    <w:unhideWhenUsed/>
    <w:rsid w:val="00C9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8F"/>
    <w:rPr>
      <w:rFonts w:ascii="Segoe UI" w:hAnsi="Segoe UI" w:cs="Segoe UI"/>
      <w:sz w:val="18"/>
      <w:szCs w:val="18"/>
    </w:rPr>
  </w:style>
  <w:style w:type="character" w:styleId="Hyperlink">
    <w:name w:val="Hyperlink"/>
    <w:basedOn w:val="DefaultParagraphFont"/>
    <w:uiPriority w:val="99"/>
    <w:unhideWhenUsed/>
    <w:rsid w:val="00C97E8F"/>
    <w:rPr>
      <w:color w:val="0563C1"/>
      <w:u w:val="single"/>
    </w:rPr>
  </w:style>
  <w:style w:type="paragraph" w:styleId="NoSpacing">
    <w:name w:val="No Spacing"/>
    <w:uiPriority w:val="1"/>
    <w:qFormat/>
    <w:rsid w:val="0004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54709">
      <w:bodyDiv w:val="1"/>
      <w:marLeft w:val="0"/>
      <w:marRight w:val="0"/>
      <w:marTop w:val="0"/>
      <w:marBottom w:val="0"/>
      <w:divBdr>
        <w:top w:val="none" w:sz="0" w:space="0" w:color="auto"/>
        <w:left w:val="none" w:sz="0" w:space="0" w:color="auto"/>
        <w:bottom w:val="none" w:sz="0" w:space="0" w:color="auto"/>
        <w:right w:val="none" w:sz="0" w:space="0" w:color="auto"/>
      </w:divBdr>
    </w:div>
    <w:div w:id="363096678">
      <w:bodyDiv w:val="1"/>
      <w:marLeft w:val="0"/>
      <w:marRight w:val="0"/>
      <w:marTop w:val="0"/>
      <w:marBottom w:val="0"/>
      <w:divBdr>
        <w:top w:val="none" w:sz="0" w:space="0" w:color="auto"/>
        <w:left w:val="none" w:sz="0" w:space="0" w:color="auto"/>
        <w:bottom w:val="none" w:sz="0" w:space="0" w:color="auto"/>
        <w:right w:val="none" w:sz="0" w:space="0" w:color="auto"/>
      </w:divBdr>
    </w:div>
    <w:div w:id="1390416099">
      <w:bodyDiv w:val="1"/>
      <w:marLeft w:val="0"/>
      <w:marRight w:val="0"/>
      <w:marTop w:val="0"/>
      <w:marBottom w:val="0"/>
      <w:divBdr>
        <w:top w:val="none" w:sz="0" w:space="0" w:color="auto"/>
        <w:left w:val="none" w:sz="0" w:space="0" w:color="auto"/>
        <w:bottom w:val="none" w:sz="0" w:space="0" w:color="auto"/>
        <w:right w:val="none" w:sz="0" w:space="0" w:color="auto"/>
      </w:divBdr>
    </w:div>
    <w:div w:id="1695498581">
      <w:bodyDiv w:val="1"/>
      <w:marLeft w:val="0"/>
      <w:marRight w:val="0"/>
      <w:marTop w:val="0"/>
      <w:marBottom w:val="0"/>
      <w:divBdr>
        <w:top w:val="none" w:sz="0" w:space="0" w:color="auto"/>
        <w:left w:val="none" w:sz="0" w:space="0" w:color="auto"/>
        <w:bottom w:val="none" w:sz="0" w:space="0" w:color="auto"/>
        <w:right w:val="none" w:sz="0" w:space="0" w:color="auto"/>
      </w:divBdr>
    </w:div>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Griffin@progresscare.co.uk" TargetMode="External"/><Relationship Id="rId4" Type="http://schemas.openxmlformats.org/officeDocument/2006/relationships/settings" Target="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FBB1-8CCA-48C2-879A-C3370D09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Mullineux</dc:creator>
  <cp:lastModifiedBy>Kiranjit Kalaar</cp:lastModifiedBy>
  <cp:revision>11</cp:revision>
  <dcterms:created xsi:type="dcterms:W3CDTF">2018-05-16T15:37:00Z</dcterms:created>
  <dcterms:modified xsi:type="dcterms:W3CDTF">2018-05-25T09:07:00Z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